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2025年地表水水质自动监测系统运营维护与提升改造</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CGXM-2025-350201-00216[2025]00252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[350201]FJGC[CS]2025001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厦门市同安生态环境局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厦门市同安生态环境局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2025年地表水水质自动监测系统运营维护与提升改造</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福建国诚招标有限公司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2025年地表水水质自动监测系统运营维护与提升改造</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CGXM-2025-350201-00216[2025]00252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[350201]FJGC[CS]2025001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1,385,000.00</w:t>
      </w:r>
    </w:p>
    <w:p>
      <w:pPr>
        <w:pStyle w:val="null3"/>
        <w:jc w:val="left"/>
      </w:pPr>
      <w:r>
        <w:rPr>
          <w:rFonts w:ascii="仿宋_GB2312" w:hAnsi="仿宋_GB2312" w:cs="仿宋_GB2312" w:eastAsia="仿宋_GB2312"/>
        </w:rPr>
        <w:t>采购包最高限价（元）: 1,385,000.00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2025年地表水水质自动监测系统运营维护与提升改造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1,385,000.00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2025年地表水水质自动监测系统运营维护与提升改造</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2025年地表水水质自动监测系统运营维护与提升改造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2025年地表水水质自动监测系统运营维护与提升改造</w:t>
            </w:r>
          </w:p>
        </w:tc>
        <w:tc>
          <w:tcPr>
            <w:tcW w:type="dxa" w:w="2076"/>
          </w:tcPr>
          <w:p>
            <w:pPr>
              <w:pStyle w:val="null3"/>
              <w:jc w:val="left"/>
            </w:pPr>
            <w:r>
              <w:rPr>
                <w:rFonts w:ascii="仿宋_GB2312" w:hAnsi="仿宋_GB2312" w:cs="仿宋_GB2312" w:eastAsia="仿宋_GB2312"/>
              </w:rPr>
              <w:t>报价不得超过磋商文件规定的最高限价</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1,385,000.00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4614"/>
          </w:tcPr>
          <w:p>
            <w:pPr>
              <w:pStyle w:val="null3"/>
              <w:jc w:val="left"/>
            </w:pPr>
            <w:r>
              <w:rPr>
                <w:rFonts w:ascii="仿宋_GB2312" w:hAnsi="仿宋_GB2312" w:cs="仿宋_GB2312" w:eastAsia="仿宋_GB2312"/>
              </w:rPr>
              <w:t>指提供履行合同所必需的设备和专业技术能力的声明函。</w:t>
            </w:r>
          </w:p>
        </w:tc>
      </w:tr>
      <w:tr>
        <w:tc>
          <w:tcPr>
            <w:tcW w:type="dxa" w:w="3692"/>
          </w:tcPr>
          <w:p>
            <w:pPr>
              <w:pStyle w:val="null3"/>
              <w:jc w:val="left"/>
            </w:pPr>
            <w:r>
              <w:rPr>
                <w:rFonts w:ascii="仿宋_GB2312" w:hAnsi="仿宋_GB2312" w:cs="仿宋_GB2312" w:eastAsia="仿宋_GB2312"/>
              </w:rPr>
              <w:t>落实政府采购政策的证明材料(专门面向中小企业采购)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第五章首次响应文件格式。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磋商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3、供应商为残疾人福利性单位的视同小型和微型企业，可不提供以上第1点材料，但应当提供《残疾人福利性单位声明函》，格式见第五章《响应文件格式》附件。</w:t>
            </w:r>
          </w:p>
        </w:tc>
      </w:tr>
      <w:tr>
        <w:tc>
          <w:tcPr>
            <w:tcW w:type="dxa" w:w="3692"/>
          </w:tcPr>
          <w:p>
            <w:pPr>
              <w:pStyle w:val="null3"/>
              <w:jc w:val="left"/>
            </w:pPr>
            <w:r>
              <w:rPr>
                <w:rFonts w:ascii="仿宋_GB2312" w:hAnsi="仿宋_GB2312" w:cs="仿宋_GB2312" w:eastAsia="仿宋_GB2312"/>
              </w:rPr>
              <w:t>信用记录查询结果(本文件中描述与此处不一致的，以此处为准)</w:t>
            </w:r>
          </w:p>
        </w:tc>
        <w:tc>
          <w:tcPr>
            <w:tcW w:type="dxa" w:w="4614"/>
          </w:tcPr>
          <w:p>
            <w:pPr>
              <w:pStyle w:val="null3"/>
              <w:jc w:val="left"/>
            </w:pPr>
            <w:r>
              <w:rPr>
                <w:rFonts w:ascii="仿宋_GB2312" w:hAnsi="仿宋_GB2312" w:cs="仿宋_GB2312" w:eastAsia="仿宋_GB2312"/>
              </w:rPr>
              <w:t>信用记录查询结果(本文件中描述与此处不一致的，以此处为准) ①信用记录查询的截止时点：信用记录查询的截止时点为本项目磋商截止当日。②信用记录查询渠道：信用中国（www.creditchina.gov.cn）、中国政府采购网（www.ccgp.gov.cn）、信用厦门(credit.xm.gov.cn)。③信用记录的查询：由磋商小组通过上述网站查询并打印供应商的信用记录。④经查询，供应商参加本项目采购活动(磋商截止时间)前三年内被列入失信被执行人名单、重大税收违法案件当事人名单、政府采购严重违法失信行为记录名单及其他重大违法记录且相关信用惩戒期限未满的，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首次响应文件中提供信用记录查询结果（但供应商应在参加采购活动前查询并了解自身的信用记录情况）。若供应商自行提供查询结果的，仍以磋商小组查询结果为准。</w:t>
            </w:r>
          </w:p>
        </w:tc>
      </w:tr>
      <w:tr>
        <w:tc>
          <w:tcPr>
            <w:tcW w:type="dxa" w:w="3692"/>
          </w:tcPr>
          <w:p>
            <w:pPr>
              <w:pStyle w:val="null3"/>
              <w:jc w:val="left"/>
            </w:pPr>
            <w:r>
              <w:rPr>
                <w:rFonts w:ascii="仿宋_GB2312" w:hAnsi="仿宋_GB2312" w:cs="仿宋_GB2312" w:eastAsia="仿宋_GB2312"/>
              </w:rPr>
              <w:t>资格承诺函（若有）</w:t>
            </w:r>
          </w:p>
        </w:tc>
        <w:tc>
          <w:tcPr>
            <w:tcW w:type="dxa" w:w="4614"/>
          </w:tcPr>
          <w:p>
            <w:pPr>
              <w:pStyle w:val="null3"/>
              <w:jc w:val="left"/>
            </w:pPr>
            <w:r>
              <w:rPr>
                <w:rFonts w:ascii="仿宋_GB2312" w:hAnsi="仿宋_GB2312" w:cs="仿宋_GB2312" w:eastAsia="仿宋_GB2312"/>
              </w:rPr>
              <w:t>供应商提供《政府采购供应商资格承诺函》的，在响应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供应商可自行选择是否提供本承诺函，若不提供本承诺函的，应按磋商文件要求提供相应的证明材料。②供应商应对其承诺内容的真实性、合法性、有效性负责。③供应商应当遵循诚实守信的原则，不得作出虚假承诺，承诺不实的，属于提供虚假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厦门市同安生态环境局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福建省厦门市同安区银湖路莲福大厦五楼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0592-7892906</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福建国诚招标有限公司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福州市鼓楼区古田路中美大厦二十四层东单元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张凤玲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0592-5131857、5131957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福建国诚招标有限公司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执行本合同包所需的设备及专业技术能力特别要求(本文件中描述与此处不一致的，以此处为准)</w:t>
                  </w:r>
                </w:p>
              </w:tc>
              <w:tc>
                <w:tcPr>
                  <w:tcW w:type="dxa" w:w="1418"/>
                </w:tcPr>
                <w:p>
                  <w:pPr>
                    <w:pStyle w:val="null3"/>
                    <w:jc w:val="left"/>
                  </w:pPr>
                  <w:r>
                    <w:rPr>
                      <w:rFonts w:ascii="仿宋_GB2312" w:hAnsi="仿宋_GB2312" w:cs="仿宋_GB2312" w:eastAsia="仿宋_GB2312"/>
                    </w:rPr>
                    <w:t>指提供履行合同所必需的设备和专业技术能力的声明函。</w:t>
                  </w:r>
                </w:p>
              </w:tc>
            </w:tr>
            <w:tr>
              <w:tc>
                <w:tcPr>
                  <w:tcW w:type="dxa" w:w="1135"/>
                </w:tcPr>
                <w:p>
                  <w:pPr>
                    <w:pStyle w:val="null3"/>
                    <w:jc w:val="left"/>
                  </w:pPr>
                  <w:r>
                    <w:rPr>
                      <w:rFonts w:ascii="仿宋_GB2312" w:hAnsi="仿宋_GB2312" w:cs="仿宋_GB2312" w:eastAsia="仿宋_GB2312"/>
                    </w:rPr>
                    <w:t>落实政府采购政策的证明材料(专门面向中小企业采购)</w:t>
                  </w:r>
                </w:p>
              </w:tc>
              <w:tc>
                <w:tcPr>
                  <w:tcW w:type="dxa" w:w="1418"/>
                </w:tcPr>
                <w:p>
                  <w:pPr>
                    <w:pStyle w:val="null3"/>
                    <w:jc w:val="left"/>
                  </w:pPr>
                  <w:r>
                    <w:rPr>
                      <w:rFonts w:ascii="仿宋_GB2312" w:hAnsi="仿宋_GB2312" w:cs="仿宋_GB2312" w:eastAsia="仿宋_GB2312"/>
                    </w:rPr>
                    <w:t>本项目专门面向中小企业采购，非中小企业的将被拒绝，须提供相关证明材料：1、供应商提供的服务应符合《政府采购促进中小企业发展管理办法》(财库〔2020〕46号) 第四条规定的情形，且应当提供《政府采购促进中小企业发展管理办法》(财库〔2020〕46号)规定的《中小企业声明函》，格式见第五章首次响应文件格式。本项目采购标的对应的中小企业划分标准所属行业详见“附2：采购标的一览表”中的所属行业，应对应填写《中小企业声明函》（工程、服务）模板，若供应商填写的《中小企业声明函》不是对应模板的或者提供的《中小企业声明函》中填写的行业与磋商文件明确的采购标的对应的中小企业划分标准所属行业不一致，均不予认定为中小企业。 2、供应商为监狱企业的视同小型和微型企业，可不提供以上第1材料，但应当提供由省级以上监狱管理局、戒毒管理局(含新疆生产建设兵团)出具的属于监狱企业的证明文件。 3、供应商为残疾人福利性单位的视同小型和微型企业，可不提供以上第1点材料，但应当提供《残疾人福利性单位声明函》，格式见第五章《响应文件格式》附件。</w:t>
                  </w:r>
                </w:p>
              </w:tc>
            </w:tr>
            <w:tr>
              <w:tc>
                <w:tcPr>
                  <w:tcW w:type="dxa" w:w="1135"/>
                </w:tcPr>
                <w:p>
                  <w:pPr>
                    <w:pStyle w:val="null3"/>
                    <w:jc w:val="left"/>
                  </w:pPr>
                  <w:r>
                    <w:rPr>
                      <w:rFonts w:ascii="仿宋_GB2312" w:hAnsi="仿宋_GB2312" w:cs="仿宋_GB2312" w:eastAsia="仿宋_GB2312"/>
                    </w:rPr>
                    <w:t>信用记录查询结果(本文件中描述与此处不一致的，以此处为准)</w:t>
                  </w:r>
                </w:p>
              </w:tc>
              <w:tc>
                <w:tcPr>
                  <w:tcW w:type="dxa" w:w="1418"/>
                </w:tcPr>
                <w:p>
                  <w:pPr>
                    <w:pStyle w:val="null3"/>
                    <w:jc w:val="left"/>
                  </w:pPr>
                  <w:r>
                    <w:rPr>
                      <w:rFonts w:ascii="仿宋_GB2312" w:hAnsi="仿宋_GB2312" w:cs="仿宋_GB2312" w:eastAsia="仿宋_GB2312"/>
                    </w:rPr>
                    <w:t>信用记录查询结果(本文件中描述与此处不一致的，以此处为准) ①信用记录查询的截止时点：信用记录查询的截止时点为本项目磋商截止当日。②信用记录查询渠道：信用中国（www.creditchina.gov.cn）、中国政府采购网（www.ccgp.gov.cn）、信用厦门(credit.xm.gov.cn)。③信用记录的查询：由磋商小组通过上述网站查询并打印供应商的信用记录。④经查询，供应商参加本项目采购活动(磋商截止时间)前三年内被列入失信被执行人名单、重大税收违法案件当事人名单、政府采购严重违法失信行为记录名单及其他重大违法记录且相关信用惩戒期限未满的，其资格审查不合格。⑤因查询渠道网站原因导致查无供应商信息的，不认定供应商资格审查不合格；评审结束后，通过其他渠道发现供应商存在不良信用记录的，不认定为资格审查错误，将依照有关规定进行调查处理。⑥本项目不要求供应商在其首次响应文件中提供信用记录查询结果（但供应商应在参加采购活动前查询并了解自身的信用记录情况）。若供应商自行提供查询结果的，仍以磋商小组查询结果为准。</w:t>
                  </w:r>
                </w:p>
              </w:tc>
            </w:tr>
            <w:tr>
              <w:tc>
                <w:tcPr>
                  <w:tcW w:type="dxa" w:w="1135"/>
                </w:tcPr>
                <w:p>
                  <w:pPr>
                    <w:pStyle w:val="null3"/>
                    <w:jc w:val="left"/>
                  </w:pPr>
                  <w:r>
                    <w:rPr>
                      <w:rFonts w:ascii="仿宋_GB2312" w:hAnsi="仿宋_GB2312" w:cs="仿宋_GB2312" w:eastAsia="仿宋_GB2312"/>
                    </w:rPr>
                    <w:t>资格承诺函（若有）</w:t>
                  </w:r>
                </w:p>
              </w:tc>
              <w:tc>
                <w:tcPr>
                  <w:tcW w:type="dxa" w:w="1418"/>
                </w:tcPr>
                <w:p>
                  <w:pPr>
                    <w:pStyle w:val="null3"/>
                    <w:jc w:val="left"/>
                  </w:pPr>
                  <w:r>
                    <w:rPr>
                      <w:rFonts w:ascii="仿宋_GB2312" w:hAnsi="仿宋_GB2312" w:cs="仿宋_GB2312" w:eastAsia="仿宋_GB2312"/>
                    </w:rPr>
                    <w:t>供应商提供《政府采购供应商资格承诺函》的，在响应文件中可不提供法定条件中【营业执照、财务状况报告(财务报告、或资信证明)、依法缴纳税收证明材料、依法缴纳社会保障资金证明材料、具备履行合同所必需设备和专业技术能力的声明函、参加采购活动前三年内在经营活动中没有重大违法记录的声明】的材料。 注： ①供应商可自行选择是否提供本承诺函，若不提供本承诺函的，应按磋商文件要求提供相应的证明材料。②供应商应对其承诺内容的真实性、合法性、有效性负责。③供应商应当遵循诚实守信的原则，不得作出虚假承诺，承诺不实的，属于提供虚假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(1)磋商小组将按照规定对各供应商的响应文件采用相同的程序和标准进行评价和比较，将按照提交首次响应文件时间的先后顺序(或者逆顺序)邀请通过资格及符合性审查的合格供应商进行磋商。 (2)所有合格的供应商均可进行磋商并进行最后报价。磋商小组确定成交候选人时以最后报价为准。 (3)特别提示：最后报价时需用到供应商CA证书、电脑及网络，各供应商须考虑前述因素，并自行准备。</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厦门市财政局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-1代理服务费收费标准：本项目的采购代理服务费(成交服务费)向成交供应商收取，成交供应商按差额定率累进法计算，向采购代理机构交纳采购代理服务费(成交服务费)。①以成交通知书规定的成交金额作为收费的计算基数。②采购代理服务收费的标准：100(万元)以下收费费率标准：1.5%；100－500(万元)收费费率标准:0.8％。③经认定符合中小企业政策规定且资料提供完整的成交供应商，成交后可享受服务费下浮10%的优惠。 (1)-2采购代理服务费收取方式：①成交供应商应在领取成交通知书的同时按规定的标准一次性向采购代理机构缴清采购代理服务费。采购代理服务费以银行转账、电汇、汇票或现金等付款方式。②采购代理服务费缴交银行账号：开户名：福建国诚招标有限公司厦门分公司；开户行：兴业银行厦门吕岭支行；账号：129300100100132261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(2)-2实质性要求和条件：(2)-2.1无效响应及废标条款：以下为可能导致无效响应或废标的条款，具体内容详见磋商文件各章节，请各供应商认真查看对照。(1)报价不符合供应商须知前附表1“实质性要求和条件”规定的。(2)不符合供应商须知前附表1“最高限价”规定的。(3)出现“评审的标准和方法”无效响应规定的。(4)出现第二章竞争性磋商须知无效响应规定的。(5)出现第三章采购内容及要求无效响应规定的。(6)明显不符合技术要求的为无效响应。(7)内容不全或关键字迹模糊、无法辨认的为无效响应。(2)-3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(2)-4质疑与投诉(2)-4.1质疑(2)-4.1.1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(2)对采购过程提出质疑的，为各采购程序环节结束之日；(3)对成交结果提出质疑的，为成交结果公告期限届满之日。(2)-4.1.2供应商在法定质疑期内须一次性提出针对同一采购程序环节的质疑。(2)-4.1.3接收质疑函的方式、联系部门、联系电话和通讯地址(1)接收质疑函的方式：现场方式；(2)接收质疑函的联系部门：办公室；(3)接收质疑函的联系电话：0592-5131857/957；(4)接收质疑函的通讯地址：厦门市湖里区金泰路318号企鸣财富中心A栋608单元福建国诚招标有限公司。(2)-4.2投诉(2)-4.2.1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(2)-5为本次采购项目提供设计、编制规范、进行管理等服务的供应商，不得再参加该采购项目的其他采购活动。</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自中标通知书发出之日起20个日历日内。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第二章“竞争性磋商须知”表2中关于“⑾关于首次响应文件递交截止时间过后”规定“a.有下列情形之一的，供应商的响应无效，其保证金不予退还或通过保函进行索赔：a1不同供应商的电子响应文件具有相同内部识别码；a2不同供应商的磋商保证金从同一单位或个人的账户转出；</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 xml:space="preserve">a.根据《福建省财政厅关于电子化政府采购项目中视为串标情形认定与处理的指导意见》闽财购〔2018〕30号规定，有下列情形之一的，视为供应商串通投标，其响应无效，没收其磋商保证金，并书面报告本级财政部门： a1不同供应商的磋商保证金转出账户的银行账户名称相同的；a2供应商上传电子响应文件被福建省政府采购网上公开信息系统投标客户端所赋予的项目内部识别码与本招标项目的其他供应商相同的；a3系统记录的编制电子响应文件使用的计算机或上传电子响应文件使用的计算机网卡 MAC 地址与本招标项目的其他供应商一致的；a4供应商上传的电子响应文件若出现使用本项目其他供应商的数字证书加密的或加盖本项目的其他供应商的电子印章的。 </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(12)-1电子响应文件的投标报价、投标客户端填写的投标报价应保持一致，并以投标客户端填写的投标报价为准。</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运维服务内容及要求”中“▲1.3供应商必须具备各种应急情况下的快速反应能力，制定相应的应急响应机制与具体的应急响应方案，保证自动监测站的正常运转；必须保证所有在线监测仪器设备的数据及时、准确、可靠；对于未通过验收的在线监测仪器设备，供应商应在仪器设备供应商的授权范围内进行维护工作，确保仪器正常运行。”要求的得3分，负偏离不得分。供应商需提供技术和服务要求响应表及承诺函，否则不得分。</w:t>
            </w:r>
          </w:p>
        </w:tc>
      </w:tr>
      <w:tr>
        <w:tc>
          <w:tcPr>
            <w:tcW w:type="dxa" w:w="3322"/>
          </w:tcPr>
          <w:p>
            <w:pPr>
              <w:pStyle w:val="null3"/>
              <w:jc w:val="left"/>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供应商完全响应“1.运维服务内容及要求” 中“▲1.5为保证日常运维管理的有效性，要求供应商将农村污水水质自动监测站、黑臭水体自动监测站及水质浮标的数据信息统一联网上传到采购人指定的厦门智慧环保管理平台上实现统一管理”要求的得2分，负偏离不得分。供应商需提供技术和服务要求响应表及承诺函，否则不得分。</w:t>
            </w:r>
          </w:p>
        </w:tc>
      </w:tr>
      <w:tr>
        <w:tc>
          <w:tcPr>
            <w:tcW w:type="dxa" w:w="3322"/>
          </w:tcPr>
          <w:p>
            <w:pPr>
              <w:pStyle w:val="null3"/>
              <w:jc w:val="left"/>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运维服务内容及要求”中“▲1.6供应商应安排专人负责每天监控自动监测站系统在线监测数据,按《厦门市水环境管理水质超标预警方案》完成自动在线监测超标预警以及日均值超标（或超过上月均值3倍预警）预警工作”要求的得2分，负偏离不得分。供应商需提供技术和服务要求响应表及承诺函，否则不得分。</w:t>
            </w:r>
          </w:p>
        </w:tc>
      </w:tr>
      <w:tr>
        <w:tc>
          <w:tcPr>
            <w:tcW w:type="dxa" w:w="3322"/>
          </w:tcPr>
          <w:p>
            <w:pPr>
              <w:pStyle w:val="null3"/>
              <w:jc w:val="left"/>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供应商完全响应“1.运维服务内容及要求” 中“▲1.7供应商必须具有满足自动监测站正常运行所需的备品备件库存量。供应商应提供所运营的自动监测站所有应定期进行更换的易耗品清单及所有仪器设备在使用年限（使用年限暂定8年）可能需要更换的配件清单”要求的得2分，负偏离不得分。供应商需提供技术和服务要求响应表及承诺函，否则不得分。</w:t>
            </w:r>
          </w:p>
        </w:tc>
      </w:tr>
      <w:tr>
        <w:tc>
          <w:tcPr>
            <w:tcW w:type="dxa" w:w="3322"/>
          </w:tcPr>
          <w:p>
            <w:pPr>
              <w:pStyle w:val="null3"/>
              <w:jc w:val="left"/>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供应商完全响应“1.22.2浮标自动监测站运营维护要求” 中“▲（2）供应商应根据要求（每个月至少一次）对浮标监测仪器进行维护(包括浮标监测仪器实施标液检验)，任一设备未完成一次，扣除人民币壹佰元整，如因天气等客观原因，未能及时校准或检验，可相应延长校准或检验等工作的维护周期。如任一设备出现连续两次准确度检验不合格的情况，则采购人可单方终止该合同的执行，产生的损失，供应商应付全责”要求的得2分，负偏离不得分。供应商需提供承诺函，否则不得分。</w:t>
            </w:r>
          </w:p>
        </w:tc>
      </w:tr>
      <w:tr>
        <w:tc>
          <w:tcPr>
            <w:tcW w:type="dxa" w:w="3322"/>
          </w:tcPr>
          <w:p>
            <w:pPr>
              <w:pStyle w:val="null3"/>
              <w:jc w:val="left"/>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供应商完全响应“1.22.2浮标自动监测站运营维护要求” 中“▲（3）供应商应按要求每月一次检查、清洁、维护浮标系统以及每四个月一次对仪器实施防护措施并作相应记录，任一设备未完成一次，扣除人民币伍佰元整”要求的得2分，负偏离不得分。供应商需提供承诺函，否则不得分。</w:t>
            </w:r>
          </w:p>
        </w:tc>
      </w:tr>
      <w:tr>
        <w:tc>
          <w:tcPr>
            <w:tcW w:type="dxa" w:w="3322"/>
          </w:tcPr>
          <w:p>
            <w:pPr>
              <w:pStyle w:val="null3"/>
              <w:jc w:val="left"/>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供应商完全响应“1.22.2浮标自动监测站运营维护要求” 中“▲（4）供应商每年应进行一次系统维护性检修，对浮标系统（包括整个标体和锚链系统）进行检查，更换老化配件与管路，并作记录，任一设备未完成一次，扣除人民币伍佰元整”要求的得2分，负偏离不得分。供应商需提供承诺函，否则不得分。</w:t>
            </w:r>
          </w:p>
        </w:tc>
      </w:tr>
      <w:tr>
        <w:tc>
          <w:tcPr>
            <w:tcW w:type="dxa" w:w="3322"/>
          </w:tcPr>
          <w:p>
            <w:pPr>
              <w:pStyle w:val="null3"/>
              <w:jc w:val="left"/>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供应商完全响应“1.22.2浮标自动监测站运营维护要求” 中“▲（5）供应商每次完成维护工作后，应按照采购人认可或采购人指定的工作表格做好维护计划、记录、报告，并按规定及时上报采购人，日常运营维护记录的内容应包括试剂配制、试剂更换，系统及仪器维护情况，数据异常、仪器故障情况，质控考核、水样比对情况等。（未记录视为未完成运营维护工作），如经核实未完成相关工作的，每次扣除人民币伍佰元整”要求的得2分，负偏离不得分。供应商需提供承诺函，否则不得分。</w:t>
            </w:r>
          </w:p>
        </w:tc>
      </w:tr>
      <w:tr>
        <w:tc>
          <w:tcPr>
            <w:tcW w:type="dxa" w:w="3322"/>
          </w:tcPr>
          <w:p>
            <w:pPr>
              <w:pStyle w:val="null3"/>
              <w:jc w:val="left"/>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每次维护应检查自动监测系统在线监测仪器的试剂、标样使用情况，按照规定更换试剂。所有在用试剂保存袋外壁应粘贴标签，标签上标明试剂名称、配制时间、保存时间、试剂浓度等内容。系统自动监测中仪器分析产生的废液应及时按有关规定进行处理，不得对监测水体造成污染。化学品的管理必须按照生态局相关化学品管理程序实施。完全满足的得3分，供应商需提供承诺函，否则不得分。</w:t>
            </w:r>
          </w:p>
        </w:tc>
      </w:tr>
      <w:tr>
        <w:tc>
          <w:tcPr>
            <w:tcW w:type="dxa" w:w="3322"/>
          </w:tcPr>
          <w:p>
            <w:pPr>
              <w:pStyle w:val="null3"/>
              <w:jc w:val="left"/>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应有应对恶劣极端气象条件下的应急处理预案及应急处置能力，如在台风、汛期之前，供应商应根据气象预警预报情况，仔细检查水站站房及设备的安全性，特别是浮标锚链系统的可靠性，提前采取有效的安全防范措施，如加强加固站房及浮标，提前回收浮标或关键设备等，确保在恶劣极端天气下不会造成水站站房损坏，浮标移位或侧翻等设备财产损失情况。完全满足的得3分，供应商需提供承诺函，否则不得分。</w:t>
            </w:r>
          </w:p>
        </w:tc>
      </w:tr>
      <w:tr>
        <w:tc>
          <w:tcPr>
            <w:tcW w:type="dxa" w:w="3322"/>
          </w:tcPr>
          <w:p>
            <w:pPr>
              <w:pStyle w:val="null3"/>
              <w:jc w:val="left"/>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技术和服务要求并结合本项目的仪器设备和水质等情况提供水质自动监测站质控方案：质控方案包括但不限于量值溯源、质控工作频次、标样核查、加标回收率测试、实际水样比对、质量管理体系等，每提供一项内容得0.5分，满分3分。</w:t>
            </w:r>
          </w:p>
        </w:tc>
      </w:tr>
      <w:tr>
        <w:tc>
          <w:tcPr>
            <w:tcW w:type="dxa" w:w="3322"/>
          </w:tcPr>
          <w:p>
            <w:pPr>
              <w:pStyle w:val="null3"/>
              <w:jc w:val="left"/>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针对本项目的运行管理配套各项制度，包括但不限于内部质量管理体系、运维巡检制度、数据异常处理制度、岗位职责制度、备品备件库台账和管理制度、运维人员及车辆管理制度等，每提供一项内容得0.5分，满分3分。</w:t>
            </w:r>
          </w:p>
        </w:tc>
      </w:tr>
      <w:tr>
        <w:tc>
          <w:tcPr>
            <w:tcW w:type="dxa" w:w="3322"/>
          </w:tcPr>
          <w:p>
            <w:pPr>
              <w:pStyle w:val="null3"/>
              <w:jc w:val="left"/>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提供的针对技术和服务要求并结合地域、仪器设备和水文水质等情况，提供水质自动监测系统运行维护服务方案：①有提供水质自动监测系统运行维护服务方案的得2分；②在满足①基础上，方案包括但不限于运维服务流程、运维人员及车辆安排计划、日常管理维护的内容与频次、零部件的清洁与更换、设备故障处理、运维记录填报等，方案详尽、准确、条理清晰、切合项目实际的得3分；③未提供或不符合上述要求的不得分。</w:t>
            </w:r>
          </w:p>
        </w:tc>
      </w:tr>
      <w:tr>
        <w:tc>
          <w:tcPr>
            <w:tcW w:type="dxa" w:w="3322"/>
          </w:tcPr>
          <w:p>
            <w:pPr>
              <w:pStyle w:val="null3"/>
              <w:jc w:val="left"/>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对站点设备的了解，针对目前水质自动监测系统可能存在的问题提出的故障预判方案进行评价：①有提供框架性故障预判方案的得2分；②在满足①基础上，方案包括但不限于硬件状态监控、异常检测等，故障预判方案全面、准确、切合项目实际的得3分；③未提供或不符合上述要求的不得分。</w:t>
            </w:r>
          </w:p>
        </w:tc>
      </w:tr>
      <w:tr>
        <w:tc>
          <w:tcPr>
            <w:tcW w:type="dxa" w:w="3322"/>
          </w:tcPr>
          <w:p>
            <w:pPr>
              <w:pStyle w:val="null3"/>
              <w:jc w:val="left"/>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针对技术和服务要求提供水质自动监测站运维预警与应急预案：①有提供水质自动监测站运维预警与应急预案的得2分；②在满足①基础上,方案包括但不限于对突发性水质污染、特殊时期（丰水期、枯水期）、自然灾害、节假日、重大活动、被偷盗破坏等情况，方案详尽、准确、条理清晰、切合项目实际的得3分；③未提供或不符合上述要求的不得分。</w:t>
            </w:r>
          </w:p>
        </w:tc>
      </w:tr>
      <w:tr>
        <w:tc>
          <w:tcPr>
            <w:tcW w:type="dxa" w:w="3322"/>
          </w:tcPr>
          <w:p>
            <w:pPr>
              <w:pStyle w:val="null3"/>
              <w:jc w:val="left"/>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所投农村污水在线监测设备备机包括氨氮、CODcr、总磷指标监测设备，监测设备备机具有中华人民共和国计量器具型式批准证书或计量检测报告或环保主管部门的认证检测合格证书，每种设备提供一份证明材料得1分，满分3分。需提供备机上述证明材料扫描件，否则不得分。</w:t>
            </w:r>
          </w:p>
        </w:tc>
      </w:tr>
      <w:tr>
        <w:tc>
          <w:tcPr>
            <w:tcW w:type="dxa" w:w="3322"/>
          </w:tcPr>
          <w:p>
            <w:pPr>
              <w:pStyle w:val="null3"/>
              <w:jc w:val="left"/>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供应商所投浮标自动监测系统的原位监测设备包括氨氮、总磷分析仪，设备具有国家认可的检验检测机构出具的检测报告，满足的得3分。需提供检测报告扫描件，否则不得分。</w:t>
            </w:r>
          </w:p>
        </w:tc>
      </w:tr>
      <w:tr>
        <w:tc>
          <w:tcPr>
            <w:tcW w:type="dxa" w:w="3322"/>
          </w:tcPr>
          <w:p>
            <w:pPr>
              <w:pStyle w:val="null3"/>
              <w:jc w:val="left"/>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为本项目配备的水质自动监测站点地理信息地图进行评价：可实现站点的位置分享、定位导航、巡查打卡、运维信息查询和数据导出等功能，满足所有功能的得3分。需提供功能截图并加盖供应商公章，否则不得分。</w:t>
            </w:r>
          </w:p>
        </w:tc>
      </w:tr>
      <w:tr>
        <w:tc>
          <w:tcPr>
            <w:tcW w:type="dxa" w:w="3322"/>
          </w:tcPr>
          <w:p>
            <w:pPr>
              <w:pStyle w:val="null3"/>
              <w:jc w:val="left"/>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供应商为本项目配备的运维信息系统可通过手机APP端将运维工作信息上传至信息管理平台，满足图像采集、设置设备、电子签名的得3分。需提供软件测试报告扫描件，否则不得分。</w:t>
            </w:r>
          </w:p>
        </w:tc>
      </w:tr>
      <w:tr>
        <w:tc>
          <w:tcPr>
            <w:tcW w:type="dxa" w:w="3322"/>
          </w:tcPr>
          <w:p>
            <w:pPr>
              <w:pStyle w:val="null3"/>
              <w:jc w:val="left"/>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供应商为本项目配备的运维信息系统可通过手机APP端将运维工作信息上传至信息管理平台，功能包括日常巡检、耗材更换、日常维修、校验设备，满足的得3分。需提供软件测试报告扫描件，否则不得分。</w:t>
            </w:r>
          </w:p>
        </w:tc>
      </w:tr>
      <w:tr>
        <w:tc>
          <w:tcPr>
            <w:tcW w:type="dxa" w:w="3322"/>
          </w:tcPr>
          <w:p>
            <w:pPr>
              <w:pStyle w:val="null3"/>
              <w:jc w:val="left"/>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具有智慧运维相关的计算机软件著作权登记证书、水质监测智慧电源源管理系统相关的计算机软件著作权登记证书、水质监测设备防损预警系统相关的计算机软件著作权登记证书，每提供1个证书得1分，满分3分。须提供相关的计算机软件著作权登记证书扫描件并加盖供应商公章，否则不得分。</w:t>
            </w:r>
          </w:p>
        </w:tc>
      </w:tr>
      <w:tr>
        <w:tc>
          <w:tcPr>
            <w:tcW w:type="dxa" w:w="3322"/>
          </w:tcPr>
          <w:p>
            <w:pPr>
              <w:pStyle w:val="null3"/>
              <w:jc w:val="left"/>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项目负责人（1人）同时具备一级机电工程专业注册建造师证书、项目负责人B证及高级信息系统项目管理师证书，得3分；具备贰级机电工程专业注册建造师证书、项目负责人B证及高级信息系统项目管理师证书得1分。不满足不得分。供应商需提供该人员有效证书扫描件及磋商截止时间止前六个月（不含响应截止时间当月）任意一个月供应商为其缴交社保的证明材料并加盖供应商公章，否则不得分。</w:t>
            </w:r>
          </w:p>
        </w:tc>
      </w:tr>
      <w:tr>
        <w:tc>
          <w:tcPr>
            <w:tcW w:type="dxa" w:w="3322"/>
          </w:tcPr>
          <w:p>
            <w:pPr>
              <w:pStyle w:val="null3"/>
              <w:jc w:val="left"/>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项目技术负责人（1人）具备物联网工程专业高级职称证书得3分。具备物联网工程专业中级职称证书得1分。供应商需提供该人员有效的人社局颁布的证书扫描件及磋商截止时间止前六个月（不含响应截止时间当月）任意一个月供应商为其缴交社保的证明材料并加盖供应商公章，否则不得分。</w:t>
            </w:r>
          </w:p>
        </w:tc>
      </w:tr>
      <w:tr>
        <w:tc>
          <w:tcPr>
            <w:tcW w:type="dxa" w:w="3322"/>
          </w:tcPr>
          <w:p>
            <w:pPr>
              <w:pStyle w:val="null3"/>
              <w:jc w:val="left"/>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项目运维人员（3人）每提供一名持有中级（含）及以上职称证书人员得1分，满分3分。供应商需提供该人员有效的人社局颁布的职称证书扫描件及磋商截止时间止前六个月（不含响应截止时间当月）任意一个月供应商为其缴交社保的证明材料并加盖供应商公章，否则不得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供应商具有质量管理体系认证证书的得1分。需提供有效的认证证书扫描件，否则不得分。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供应商具有环境管理体系认证证书的得1分。需提供有效的认证证书扫描件，否则不得分。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供应商具有职业健康安全管理体系认证证书的得1分。需提供有效的认证证书扫描件，否则不得分。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供应商具有信息技术服务管理体系认证证书的得1分。需提供有效的认证证书扫描件，否则不得分。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供应商具有信息安全管理体系认证证书的得1分。需提供有效的认证证书扫描件，否则不得分。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供应商为本项目配备的交通工具（汽车）情况：配备2辆得1分，在此基础上每增加1辆加1分，满分3分。 需提供车辆行驶证扫描件，若为租赁还需提供租赁证明（租赁期必须涵盖本项目服务期，若租赁证明中的租赁期未涵盖本项目服务期，须提供承诺函），否则不得分。</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当自动监测站在线监测仪器设备等出现故障或异常时，承诺在2小时内报告采购人，4小时之内到达现场处理，48小时之内解决问题，并按采购人要求填写水站异常情况记录及处理表并及时反馈给采购人的得3分。供应商需提供书面承诺函（承诺函格式自拟）并加盖供应商公章，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供应商承诺成交后为投入本项目的服务人员购买额外工伤或意外商业保险的得3分，供应商需提供书面承诺函（承诺函格式自拟）并加盖供应商公章，否则不得分。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供应商承诺检测数据客观公正，不弄虚作假，若在执行合同过程发现数据造假，采购人有权立即终止合同的得3分。供应商需提供书面承诺函（承诺函格式自拟）并加盖供应商公章，否则不得分。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书面承诺：若成交，为了保证项目目标的顺利实施，采购人有权对供应商人员配置提出具体的要求，供应商应积极配合。更换团队人员应取得采购人的同意。若釆购人认为供应商所配备的人员队伍无法满足项目需要的，可提出更换或增加人员要求，供应商应积极配合，确保项目工作的顺利实施。供应商需提供书面承诺函（承诺函格式自拟）并加盖供应商公章的得3分，未承诺或承诺内容不完整的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供应商承诺遵守保密义务，提供保密措施和保密承诺得2分，未提供保密措施和保密承诺的不得分。</w:t>
            </w:r>
          </w:p>
        </w:tc>
      </w:tr>
      <w:tr>
        <w:tc>
          <w:tcPr>
            <w:tcW w:type="dxa" w:w="3322"/>
          </w:tcPr>
          <w:p>
            <w:pPr>
              <w:pStyle w:val="null3"/>
              <w:jc w:val="left"/>
            </w:pPr>
            <w:r>
              <w:rPr>
                <w:rFonts w:ascii="仿宋_GB2312" w:hAnsi="仿宋_GB2312" w:cs="仿宋_GB2312" w:eastAsia="仿宋_GB2312"/>
              </w:rPr>
              <w:t>2-12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2022年1月1日至今（以合同签订时间为准）承接过类似项目业绩进行评价：每提供1个有效业绩的得1分，满分3分。未提供相关证明材料的本项不得分。供应商须在响应文件中提供该项目以下资料扫描件：（1）中标（成交）公告（提供相关网站中标或成交公告的下载网页及其网址）；（2）中标（成交）通知书；（3）采购合同文本；（4）能够证明该业绩项目已经采购人验收合格的相关证明文件或采购人对项目服务的良好评价。 备注：如未按照以上要求提供该项目业绩完整资料的，评标委员会对该项业绩将不予采信。</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（1）响应文件满足磋商文件全部实质性要求，且按照评审因素的量化指标综合评审总得分从高到低顺序推荐3名以上成交候选供应商，其中评审总得分最高的供应商为第一成交候选供应商。</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 F、修改事项： (1)磋商文件第五章“首次响应文件格式”中“中小企业声明函（工程、服务）”关于“2、供应商须按磋商文件明确的所属行业填列，多品目项目中须按上表要求逐条填列，否则，其提供的中小企业声明将被判定为无效声明函，由此造成的后果由供应商自行承担（涉及资格的按无效报价处理；涉及价格评审优惠的，不予认定）”的 内容。修改为“2、供应商须按磋商文件中明确的所属行业填列，否则，其提供的中小企业声明将被判定为无效声明函，由此造成的后果由供应商自行承担（涉及资格的按无效响应处理；涉及价格评审优惠的，不予认定）”。</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情形8</w:t>
            </w:r>
          </w:p>
        </w:tc>
        <w:tc>
          <w:tcPr>
            <w:tcW w:type="dxa" w:w="4153"/>
          </w:tcPr>
          <w:p>
            <w:pPr>
              <w:pStyle w:val="null3"/>
              <w:jc w:val="left"/>
            </w:pPr>
            <w:r>
              <w:rPr>
                <w:rFonts w:ascii="仿宋_GB2312" w:hAnsi="仿宋_GB2312" w:cs="仿宋_GB2312" w:eastAsia="仿宋_GB2312"/>
              </w:rPr>
              <w:t>响应文件组成不符合磋商文件要求的；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情形9</w:t>
            </w:r>
          </w:p>
        </w:tc>
        <w:tc>
          <w:tcPr>
            <w:tcW w:type="dxa" w:w="4153"/>
          </w:tcPr>
          <w:p>
            <w:pPr>
              <w:pStyle w:val="null3"/>
              <w:jc w:val="left"/>
            </w:pPr>
            <w:r>
              <w:rPr>
                <w:rFonts w:ascii="仿宋_GB2312" w:hAnsi="仿宋_GB2312" w:cs="仿宋_GB2312" w:eastAsia="仿宋_GB2312"/>
              </w:rPr>
              <w:t>一个供应商不止投一个标；</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情形10</w:t>
            </w:r>
          </w:p>
        </w:tc>
        <w:tc>
          <w:tcPr>
            <w:tcW w:type="dxa" w:w="4153"/>
          </w:tcPr>
          <w:p>
            <w:pPr>
              <w:pStyle w:val="null3"/>
              <w:jc w:val="left"/>
            </w:pPr>
            <w:r>
              <w:rPr>
                <w:rFonts w:ascii="仿宋_GB2312" w:hAnsi="仿宋_GB2312" w:cs="仿宋_GB2312" w:eastAsia="仿宋_GB2312"/>
              </w:rPr>
              <w:t>属于磋商文件中规定的无效响应条款的。</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情形11</w:t>
            </w:r>
          </w:p>
        </w:tc>
        <w:tc>
          <w:tcPr>
            <w:tcW w:type="dxa" w:w="4153"/>
          </w:tcPr>
          <w:p>
            <w:pPr>
              <w:pStyle w:val="null3"/>
              <w:jc w:val="left"/>
            </w:pPr>
            <w:r>
              <w:rPr>
                <w:rFonts w:ascii="仿宋_GB2312" w:hAnsi="仿宋_GB2312" w:cs="仿宋_GB2312" w:eastAsia="仿宋_GB2312"/>
              </w:rPr>
              <w:t>响应文件载明的招标项目交付时间超过磋商文件规定或未载明招标项目交付时间的；</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情形12</w:t>
            </w:r>
          </w:p>
        </w:tc>
        <w:tc>
          <w:tcPr>
            <w:tcW w:type="dxa" w:w="4153"/>
          </w:tcPr>
          <w:p>
            <w:pPr>
              <w:pStyle w:val="null3"/>
              <w:jc w:val="left"/>
            </w:pPr>
            <w:r>
              <w:rPr>
                <w:rFonts w:ascii="仿宋_GB2312" w:hAnsi="仿宋_GB2312" w:cs="仿宋_GB2312" w:eastAsia="仿宋_GB2312"/>
              </w:rPr>
              <w:t>磋商小组认为应当停止评审工作的。</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情形13</w:t>
            </w:r>
          </w:p>
        </w:tc>
        <w:tc>
          <w:tcPr>
            <w:tcW w:type="dxa" w:w="4153"/>
          </w:tcPr>
          <w:p>
            <w:pPr>
              <w:pStyle w:val="null3"/>
              <w:jc w:val="left"/>
            </w:pPr>
            <w:r>
              <w:rPr>
                <w:rFonts w:ascii="仿宋_GB2312" w:hAnsi="仿宋_GB2312" w:cs="仿宋_GB2312" w:eastAsia="仿宋_GB2312"/>
              </w:rPr>
              <w:t>磋商文件中带“★”的条款的有任何负偏离或不满足的。</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2、响应内容与磋商采购内容及要求有重大偏离或保留的，限制了采购人的权利或者减少成交人合同项下的义务；（由于磋商项目本身特点，不能详细列明采购标的的技术、服务要求的除外）；</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3、响应文件中附有采购人无法接受的条件的；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4、不符合磋商文件中规定的其它实质性条款（比如：报价超过了磋商文件规定的最高限价）。</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5、属于磋商文件中规定的无效响应条款的。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1.8所有易耗品、备品配件以及仪器损坏需更换的零部件均由供应商进行采购与更换，产生的全部费用（包括备品备件费用、交通费、维修费、保险费、人工费等）均由供应商承担。采购人每年对上述需定期更换的易耗品、备品配件进行现场核实并回收替换配件。运营期间自动监测站仪器设备如果出现故障需维修或更换配件（除非为台风、暴雨等不可抗力造成的损坏）的情况，供应商应负责采购零部件并维修好仪器，产生的全部费用均由供应商承担。供应商需提供承诺函。</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1.10供应商应具有相对完善的运维服务保障机制、备品备件库、重要指标的备机和良好的用户服务记录。按照不低于4比1的比例配备备机，在仪表发生故障时，使用原厂设备备品备件进行更换；48小时不能修复时，直接使用备用机替代工作。供应商需提供承诺函。</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1.17未经采购人许可，不得改变原有仪器设备、软件平台及集成系统等自动监测站所有设施；必须负责保证自动监测站数据准确可靠,发现数据有超标值或异常值出现时，应立即查明原因，并采集实际水样进行人工分析确认，负责自动监测站数据24小时实时监控和超标数据或异常数据的报警发送工作。供应商需提供承诺函。</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1、响应文件未按磋商文件规定由供应商代表签字，或未按磋商文件规定加盖供应商单位公章的；或供应商代表未获得有效授权的；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2、响应内容与磋商采购内容及要求有重大偏离或保留的，限制了采购人的权利或者减少成交人合同项下的义务；（由于磋商项目本身特点，不能详细列明采购标的的技术、服务要求的除外）；</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3、响应文件中附有采购人无法接受的条件的；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4、不符合磋商文件中规定的其它实质性条款（比如：报价超过了磋商文件规定的最高限价）；</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5、属于磋商文件中规定的无效响应条款的；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6、响应文件载明的招标项目交付时间超过磋商文件规定或未载明招标项目交货时间的；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、项目概况</w:t>
      </w:r>
    </w:p>
    <w:p>
      <w:pPr>
        <w:pStyle w:val="null3"/>
        <w:ind w:firstLine="480"/>
        <w:jc w:val="left"/>
      </w:pPr>
      <w:r>
        <w:rPr>
          <w:rFonts w:ascii="仿宋_GB2312" w:hAnsi="仿宋_GB2312" w:cs="仿宋_GB2312" w:eastAsia="仿宋_GB2312"/>
          <w:sz w:val="24"/>
          <w:color w:val="000000"/>
        </w:rPr>
        <w:t>本项目的运维服务包括：5个农村污水自动监测站、2个黑臭水体自动监测站、10个浮标水质自动监测站。具体内容详见采购项目清单。</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、采购项目清单</w:t>
      </w:r>
    </w:p>
    <w:tbl>
      <w:tblPr>
        <w:tblW w:w="0" w:type="auto"/>
        <w:tblBorders>
          <w:top w:val="none" w:color="000000" w:sz="4"/>
          <w:left w:val="none" w:color="000000" w:sz="4"/>
          <w:bottom w:val="none" w:color="000000" w:sz="4"/>
          <w:right w:val="none" w:color="000000" w:sz="4"/>
          <w:insideH w:val="none"/>
          <w:insideV w:val="none"/>
        </w:tblBorders>
      </w:tblPr>
      <w:tblGrid>
        <w:gridCol w:w="752"/>
        <w:gridCol w:w="3270"/>
        <w:gridCol w:w="3154"/>
        <w:gridCol w:w="1143"/>
      </w:tblGrid>
      <w:tr>
        <w:tc>
          <w:tcPr>
            <w:tcW w:type="dxa" w:w="7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序号</w:t>
            </w:r>
          </w:p>
        </w:tc>
        <w:tc>
          <w:tcPr>
            <w:tcW w:type="dxa" w:w="3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分项名称</w:t>
            </w:r>
          </w:p>
        </w:tc>
        <w:tc>
          <w:tcPr>
            <w:tcW w:type="dxa" w:w="3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项目内容</w:t>
            </w:r>
          </w:p>
        </w:tc>
        <w:tc>
          <w:tcPr>
            <w:tcW w:type="dxa" w:w="114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服务期</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1</w:t>
            </w:r>
          </w:p>
        </w:tc>
        <w:tc>
          <w:tcPr>
            <w:tcW w:type="dxa" w:w="32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个农村污水自动监测站</w:t>
            </w:r>
          </w:p>
        </w:tc>
        <w:tc>
          <w:tcPr>
            <w:tcW w:type="dxa" w:w="31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包含监测系统运维及服务</w:t>
            </w:r>
          </w:p>
        </w:tc>
        <w:tc>
          <w:tcPr>
            <w:tcW w:type="dxa" w:w="11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2</w:t>
            </w:r>
          </w:p>
        </w:tc>
        <w:tc>
          <w:tcPr>
            <w:tcW w:type="dxa" w:w="32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个黑臭水体自动监测站</w:t>
            </w:r>
          </w:p>
        </w:tc>
        <w:tc>
          <w:tcPr>
            <w:tcW w:type="dxa" w:w="31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包含监测系统运维及服务</w:t>
            </w:r>
          </w:p>
        </w:tc>
        <w:tc>
          <w:tcPr>
            <w:tcW w:type="dxa" w:w="11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r>
        <w:tc>
          <w:tcPr>
            <w:tcW w:type="dxa" w:w="752"/>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3</w:t>
            </w:r>
          </w:p>
        </w:tc>
        <w:tc>
          <w:tcPr>
            <w:tcW w:type="dxa" w:w="32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个浮标水质自动监测站</w:t>
            </w:r>
          </w:p>
        </w:tc>
        <w:tc>
          <w:tcPr>
            <w:tcW w:type="dxa" w:w="315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包含监测系统运维及服务</w:t>
            </w:r>
          </w:p>
        </w:tc>
        <w:tc>
          <w:tcPr>
            <w:tcW w:type="dxa" w:w="11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spacing w:before="60" w:after="60"/>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p>
        </w:tc>
      </w:tr>
    </w:tbl>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、报价要求</w:t>
      </w:r>
    </w:p>
    <w:p>
      <w:pPr>
        <w:pStyle w:val="null3"/>
        <w:ind w:firstLine="480"/>
        <w:jc w:val="both"/>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总报价为完成本项目所有可能发生的一切费用，包括但不限于人工工资、养老保险、医疗保险、工伤保险、失业保险、生育保险、福利费、加班费、人员培训费、行政办公费用、管理费、税收等服务期间所可能发生的一切费用。</w:t>
      </w:r>
    </w:p>
    <w:p>
      <w:pPr>
        <w:pStyle w:val="null3"/>
        <w:ind w:firstLine="480"/>
        <w:jc w:val="both"/>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报价以人民币为单位。</w:t>
      </w:r>
    </w:p>
    <w:p>
      <w:pPr>
        <w:pStyle w:val="null3"/>
        <w:ind w:firstLine="480"/>
        <w:jc w:val="both"/>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响应文件中标明的价格在合同执行过程中是固定不变的，不得以任何理由予以变更。以可变动价格提交的报价将被认为是非实质响应而被拒绝。</w:t>
      </w:r>
    </w:p>
    <w:p>
      <w:pPr>
        <w:pStyle w:val="null3"/>
        <w:ind w:firstLine="480"/>
        <w:jc w:val="both"/>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供应商对本项目只能有一个报价，采购单位不接受有选择的报价。</w:t>
      </w:r>
    </w:p>
    <w:p>
      <w:pPr>
        <w:pStyle w:val="null3"/>
        <w:ind w:firstLine="480"/>
        <w:jc w:val="both"/>
      </w:pPr>
      <w:r>
        <w:rPr>
          <w:rFonts w:ascii="仿宋_GB2312" w:hAnsi="仿宋_GB2312" w:cs="仿宋_GB2312" w:eastAsia="仿宋_GB2312"/>
          <w:sz w:val="24"/>
          <w:color w:val="000000"/>
        </w:rPr>
        <w:t xml:space="preserve">3.5 </w:t>
      </w:r>
      <w:r>
        <w:rPr>
          <w:rFonts w:ascii="仿宋_GB2312" w:hAnsi="仿宋_GB2312" w:cs="仿宋_GB2312" w:eastAsia="仿宋_GB2312"/>
          <w:sz w:val="24"/>
          <w:color w:val="000000"/>
        </w:rPr>
        <w:t>供应商漏报的单价或每单价报价中漏报、少报的费用，视为此项费用已隐含在报价中，成交后不得再向采购人收取任何费用。</w:t>
      </w:r>
    </w:p>
    <w:p>
      <w:pPr>
        <w:pStyle w:val="null3"/>
        <w:ind w:firstLine="480"/>
        <w:jc w:val="both"/>
      </w:pPr>
      <w:r>
        <w:rPr>
          <w:rFonts w:ascii="仿宋_GB2312" w:hAnsi="仿宋_GB2312" w:cs="仿宋_GB2312" w:eastAsia="仿宋_GB2312"/>
          <w:sz w:val="24"/>
          <w:color w:val="000000"/>
        </w:rPr>
        <w:t xml:space="preserve">3.6 </w:t>
      </w:r>
      <w:r>
        <w:rPr>
          <w:rFonts w:ascii="仿宋_GB2312" w:hAnsi="仿宋_GB2312" w:cs="仿宋_GB2312" w:eastAsia="仿宋_GB2312"/>
          <w:sz w:val="24"/>
          <w:color w:val="000000"/>
        </w:rPr>
        <w:t>本采购项目的采购预算为人民币壹佰叁拾捌万伍仟元整（￥1,385,000.00），采购预算为供应商任一轮报价（包括但不限于响应文件中的报价以及供应商提交的最后报价）的最高限价，供应商任一轮报价超过采购预算的，按无效响应处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、本项目专门面向中小企业预留采购份额，供应商根据此清单列明的“采购标的名称”和“采购标的所属行业”，按竞争性磋商文件第五章要求的格式出具《中小企业声明函》（工程、服务）</w:t>
      </w:r>
    </w:p>
    <w:tbl>
      <w:tblPr>
        <w:tblW w:w="0" w:type="auto"/>
        <w:tblBorders>
          <w:top w:val="none" w:color="000000" w:sz="4"/>
          <w:left w:val="none" w:color="000000" w:sz="4"/>
          <w:bottom w:val="none" w:color="000000" w:sz="4"/>
          <w:right w:val="none" w:color="000000" w:sz="4"/>
          <w:insideH w:val="none"/>
          <w:insideV w:val="none"/>
        </w:tblBorders>
      </w:tblPr>
      <w:tblGrid>
        <w:gridCol w:w="1139"/>
        <w:gridCol w:w="3448"/>
        <w:gridCol w:w="3718"/>
      </w:tblGrid>
      <w:tr>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序号</w:t>
            </w:r>
          </w:p>
        </w:tc>
        <w:tc>
          <w:tcPr>
            <w:tcW w:type="dxa" w:w="34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采购标的名称</w:t>
            </w:r>
          </w:p>
        </w:tc>
        <w:tc>
          <w:tcPr>
            <w:tcW w:type="dxa" w:w="37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采购标的所属行业</w:t>
            </w:r>
          </w:p>
        </w:tc>
      </w:tr>
      <w:tr>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年地表水水质自动监测系统运营维护与提升改造</w:t>
            </w:r>
          </w:p>
        </w:tc>
        <w:tc>
          <w:tcPr>
            <w:tcW w:type="dxa" w:w="37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其他未列明行业</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本采购项目属性为服务类</w:t>
            </w:r>
          </w:p>
        </w:tc>
      </w:tr>
    </w:tbl>
    <w:p>
      <w:pPr>
        <w:pStyle w:val="null3"/>
        <w:ind w:firstLine="480"/>
        <w:jc w:val="both"/>
      </w:pPr>
      <w:r>
        <w:rPr>
          <w:rFonts w:ascii="仿宋_GB2312" w:hAnsi="仿宋_GB2312" w:cs="仿宋_GB2312" w:eastAsia="仿宋_GB2312"/>
          <w:sz w:val="24"/>
          <w:color w:val="000000"/>
        </w:rPr>
        <w:t>说明：</w:t>
      </w:r>
    </w:p>
    <w:p>
      <w:pPr>
        <w:pStyle w:val="null3"/>
        <w:ind w:firstLine="480"/>
        <w:jc w:val="both"/>
      </w:pPr>
      <w:r>
        <w:rPr>
          <w:rFonts w:ascii="仿宋_GB2312" w:hAnsi="仿宋_GB2312" w:cs="仿宋_GB2312" w:eastAsia="仿宋_GB2312"/>
          <w:sz w:val="24"/>
          <w:color w:val="000000"/>
        </w:rPr>
        <w:t>（1）在服务采购项目中，服务的承接商应当为中小企业，不对其中涉及的货物的制造商作出要求。</w:t>
      </w:r>
    </w:p>
    <w:p>
      <w:pPr>
        <w:pStyle w:val="null3"/>
        <w:ind w:firstLine="480"/>
        <w:jc w:val="both"/>
      </w:pPr>
      <w:r>
        <w:rPr>
          <w:rFonts w:ascii="仿宋_GB2312" w:hAnsi="仿宋_GB2312" w:cs="仿宋_GB2312" w:eastAsia="仿宋_GB2312"/>
          <w:sz w:val="24"/>
          <w:color w:val="000000"/>
        </w:rPr>
        <w:t>（2）供应商应当对其出具的《中小企业声明函》真实性负责，供应商出具的《中小企业声明函》内容不实的，属于提供虚假材料谋取成交。</w:t>
      </w:r>
    </w:p>
    <w:p>
      <w:pPr>
        <w:pStyle w:val="null3"/>
      </w:pPr>
      <w:r>
        <w:rPr>
          <w:rFonts w:ascii="仿宋_GB2312" w:hAnsi="仿宋_GB2312" w:cs="仿宋_GB2312" w:eastAsia="仿宋_GB2312"/>
          <w:sz w:val="24"/>
          <w:color w:val="000000"/>
        </w:rPr>
        <w:t>（3）本项目采购标的对应的中小企业划分标准所属行业为：其他未列明行业。中小企业的认定标准为：从业人员300人以下的为中小微型企业。其中，从业人员100人及以上的为中型企业；从业人员10人及以上的为小型企业；从业人员10人以下的为微型企业。</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运维服务内容及要求</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供应商负责对污水自动监测站、黑臭水体自动监测站在线监测系统及所有仪器设备，如采样设备、水质自动采样器、配水清洗设备、水样预处理设备、在线监测仪器、控制系统设备、数据采集和传输设备及各种软件（如系统控制程序、数据采集处理软件等）进行运营维护管理，对仪器在一年内需定期更换的易耗品及配件进行及时更换,负责自动监测站的水电网络通信费用等。</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供应商负责对浮标水质自动监测站进行维护：包括浮标体、锚系设备检修与加固、太阳能储电设备、远程通讯设备,数据采集和传输设备（包括MODEN、数据采集仪）及软件（如浮标系统数据采集传输与应用软件）等进行运营维护管理。</w:t>
      </w:r>
    </w:p>
    <w:p>
      <w:pPr>
        <w:pStyle w:val="null3"/>
        <w:ind w:firstLine="480"/>
        <w:jc w:val="both"/>
      </w:pPr>
      <w:r>
        <w:rPr>
          <w:rFonts w:ascii="仿宋_GB2312" w:hAnsi="仿宋_GB2312" w:cs="仿宋_GB2312" w:eastAsia="仿宋_GB2312"/>
          <w:sz w:val="24"/>
          <w:color w:val="000000"/>
        </w:rPr>
        <w:t>▲1.3供应商必须具备各种应急情况下的快速反应能力，制定相应的应急响应机制与具体的应急响应方案，保证自动监测站的正常运转；必须保证所有在线监测仪器设备的数据及时、准确、可靠；对于未通过验收的在线监测仪器设备，供应商应在仪器设备供应商的授权范围内进行维护工作，确保仪器正常运行。</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供应商应指派专人负责自动监测站的运营维护工作。应确保自动监测站现场每天有专人进行日常维护工作；应制定详细日常维护工作内容；应配备专业技术人员负责自动监测站日常维护工作，并确保维护人员按照操作规程（或仪器说明书要求）对在线监测仪器进行操作，确保所配置的各种试剂和标准溶液的准确性；维护人员应熟悉自动监测站在线监测系统（包括采水系统、配水清洗系统、预处理系统和控制系统等子系统）的运行流程和常规维护程序及内容；应熟练掌握自动监测系统的控制、数据采集和数据处理软件的应用，能够查找自动监测站在线监测系统运行中出现的故障原因。</w:t>
      </w:r>
    </w:p>
    <w:p>
      <w:pPr>
        <w:pStyle w:val="null3"/>
        <w:ind w:firstLine="480"/>
        <w:jc w:val="both"/>
      </w:pPr>
      <w:r>
        <w:rPr>
          <w:rFonts w:ascii="仿宋_GB2312" w:hAnsi="仿宋_GB2312" w:cs="仿宋_GB2312" w:eastAsia="仿宋_GB2312"/>
          <w:sz w:val="24"/>
          <w:color w:val="000000"/>
        </w:rPr>
        <w:t>▲1.5为保证日常运维管理的有效性，要求供应商将农村污水水质自动监测站、黑臭水体自动监测站及水质浮标的数据信息统一联网上传到采购人指定的厦门智慧环保管理平台上实现统一管理。</w:t>
      </w:r>
    </w:p>
    <w:p>
      <w:pPr>
        <w:pStyle w:val="null3"/>
        <w:ind w:firstLine="480"/>
        <w:jc w:val="both"/>
      </w:pPr>
      <w:r>
        <w:rPr>
          <w:rFonts w:ascii="仿宋_GB2312" w:hAnsi="仿宋_GB2312" w:cs="仿宋_GB2312" w:eastAsia="仿宋_GB2312"/>
          <w:sz w:val="24"/>
          <w:color w:val="000000"/>
        </w:rPr>
        <w:t>▲1.6供应商应安排专人负责每天监控自动监测站系统在线监测数据,按《厦门市水环境管理水质超标预警方案》完成自动在线监测超标预警以及日均值超标（或超过上月均值3倍预警）预警工作。</w:t>
      </w:r>
    </w:p>
    <w:p>
      <w:pPr>
        <w:pStyle w:val="null3"/>
        <w:ind w:firstLine="480"/>
        <w:jc w:val="both"/>
      </w:pPr>
      <w:r>
        <w:rPr>
          <w:rFonts w:ascii="仿宋_GB2312" w:hAnsi="仿宋_GB2312" w:cs="仿宋_GB2312" w:eastAsia="仿宋_GB2312"/>
          <w:sz w:val="24"/>
          <w:color w:val="000000"/>
        </w:rPr>
        <w:t>▲1.7供应商必须具有满足自动监测站正常运行所需的备品备件库存量。供应商应提供所运营的自动监测站所有应定期进行更换的易耗品清单及所有仪器设备在使用年限（使用年限暂定8年）可能需要更换的配件清单。</w:t>
      </w:r>
    </w:p>
    <w:p>
      <w:pPr>
        <w:pStyle w:val="null3"/>
        <w:ind w:firstLine="482"/>
        <w:jc w:val="both"/>
      </w:pPr>
      <w:r>
        <w:rPr>
          <w:rFonts w:ascii="仿宋_GB2312" w:hAnsi="仿宋_GB2312" w:cs="仿宋_GB2312" w:eastAsia="仿宋_GB2312"/>
          <w:sz w:val="24"/>
          <w:b/>
          <w:color w:val="000000"/>
        </w:rPr>
        <w:t>★1.8所有易耗品、备品配件以及仪器损坏需更换的零部件均由供应商进行采购与更换，产生的全部费用（包括备品备件费用、交通费、维修费、保险费、人工费等）均由供应商承担。采购人每年对上述需定期更换的易耗品、备品配件进行现场核实并回收替换配件。运营期间自动监测站仪器设备如果出现故障需维修或更换配件（除非为台风、暴雨等不可抗力造成的损坏）的情况，供应商应负责采购零部件并维修好仪器，产生的全部费用均由供应商承担。供应商需提供承诺函。</w:t>
      </w:r>
    </w:p>
    <w:p>
      <w:pPr>
        <w:pStyle w:val="null3"/>
        <w:ind w:firstLine="480"/>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供应商应具有先进的自动监测站运行管理理念，制度齐全；且具备自动监测站运行维护所需的机构、人员、技术、装备及配套实验条件，并建立自动监测站运营维护中心。</w:t>
      </w:r>
    </w:p>
    <w:p>
      <w:pPr>
        <w:pStyle w:val="null3"/>
        <w:ind w:firstLine="482"/>
        <w:jc w:val="both"/>
      </w:pPr>
      <w:r>
        <w:rPr>
          <w:rFonts w:ascii="仿宋_GB2312" w:hAnsi="仿宋_GB2312" w:cs="仿宋_GB2312" w:eastAsia="仿宋_GB2312"/>
          <w:sz w:val="24"/>
          <w:b/>
          <w:color w:val="000000"/>
        </w:rPr>
        <w:t>★1.10供应商应具有相对完善的运维服务保障机制、备品备件库、重要指标的备机和良好的用户服务记录。按照不低于4比1的比例配备备机，在仪表发生故障时，使用原厂设备备品备件进行更换；48小时不能修复时，直接使用备用机替代工作。供应商需提供承诺函。</w:t>
      </w:r>
    </w:p>
    <w:p>
      <w:pPr>
        <w:pStyle w:val="null3"/>
        <w:ind w:firstLine="480"/>
        <w:jc w:val="both"/>
      </w:pPr>
      <w:r>
        <w:rPr>
          <w:rFonts w:ascii="仿宋_GB2312" w:hAnsi="仿宋_GB2312" w:cs="仿宋_GB2312" w:eastAsia="仿宋_GB2312"/>
          <w:sz w:val="24"/>
          <w:color w:val="000000"/>
        </w:rPr>
        <w:t>1.11</w:t>
      </w:r>
      <w:r>
        <w:rPr>
          <w:rFonts w:ascii="仿宋_GB2312" w:hAnsi="仿宋_GB2312" w:cs="仿宋_GB2312" w:eastAsia="仿宋_GB2312"/>
          <w:sz w:val="24"/>
          <w:color w:val="000000"/>
        </w:rPr>
        <w:t>供应商须采取有效的措施，保证试剂配制、标样考核及比对分析技术要求。</w:t>
      </w:r>
    </w:p>
    <w:p>
      <w:pPr>
        <w:pStyle w:val="null3"/>
        <w:ind w:firstLine="480"/>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供应商拟为本项目配备的项目负责人（1人）应具备机电工程专业注册建造师证书、项目负责人B证及信息系统项目管理能力；供应商拟投入的项目技术负责人（1人）具备物联网工程专业职称证书； 运维服务技术人员应满足中级（含）或以上职称，且不少于3个。。</w:t>
      </w:r>
    </w:p>
    <w:p>
      <w:pPr>
        <w:pStyle w:val="null3"/>
        <w:ind w:firstLine="480"/>
        <w:jc w:val="both"/>
      </w:pPr>
      <w:r>
        <w:rPr>
          <w:rFonts w:ascii="仿宋_GB2312" w:hAnsi="仿宋_GB2312" w:cs="仿宋_GB2312" w:eastAsia="仿宋_GB2312"/>
          <w:sz w:val="24"/>
          <w:color w:val="000000"/>
        </w:rPr>
        <w:t>1.13</w:t>
      </w:r>
      <w:r>
        <w:rPr>
          <w:rFonts w:ascii="仿宋_GB2312" w:hAnsi="仿宋_GB2312" w:cs="仿宋_GB2312" w:eastAsia="仿宋_GB2312"/>
          <w:sz w:val="24"/>
          <w:color w:val="000000"/>
        </w:rPr>
        <w:t>供应商应承诺项目负责人专职投入本项目，项目负责人和技术人员在履约期间未经采购人许可不得更换。</w:t>
      </w:r>
    </w:p>
    <w:p>
      <w:pPr>
        <w:pStyle w:val="null3"/>
        <w:ind w:firstLine="480"/>
        <w:jc w:val="both"/>
      </w:pPr>
      <w:r>
        <w:rPr>
          <w:rFonts w:ascii="仿宋_GB2312" w:hAnsi="仿宋_GB2312" w:cs="仿宋_GB2312" w:eastAsia="仿宋_GB2312"/>
          <w:sz w:val="24"/>
          <w:color w:val="000000"/>
        </w:rPr>
        <w:t>1.14</w:t>
      </w:r>
      <w:r>
        <w:rPr>
          <w:rFonts w:ascii="仿宋_GB2312" w:hAnsi="仿宋_GB2312" w:cs="仿宋_GB2312" w:eastAsia="仿宋_GB2312"/>
          <w:sz w:val="24"/>
          <w:color w:val="000000"/>
        </w:rPr>
        <w:t>供应商配备的技术人员应长期保持稳定，定期参加国家、省或市 级部门组织的培训，并接受采购人考核。</w:t>
      </w:r>
    </w:p>
    <w:p>
      <w:pPr>
        <w:pStyle w:val="null3"/>
        <w:ind w:firstLine="480"/>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在运行管理及维修期间，供应商必须遵守国家的有关法律、法规及其他规定，本着为采购人负责的精神，依照规范，科学管理，使各自动监测站系统及仪表运行达到国家及行业颁布的技术标准和考核指标要求；使其真正发挥其效能和作用。</w:t>
      </w:r>
    </w:p>
    <w:p>
      <w:pPr>
        <w:pStyle w:val="null3"/>
        <w:ind w:firstLine="480"/>
        <w:jc w:val="both"/>
      </w:pPr>
      <w:r>
        <w:rPr>
          <w:rFonts w:ascii="仿宋_GB2312" w:hAnsi="仿宋_GB2312" w:cs="仿宋_GB2312" w:eastAsia="仿宋_GB2312"/>
          <w:sz w:val="24"/>
          <w:color w:val="000000"/>
        </w:rPr>
        <w:t>1.16</w:t>
      </w:r>
      <w:r>
        <w:rPr>
          <w:rFonts w:ascii="仿宋_GB2312" w:hAnsi="仿宋_GB2312" w:cs="仿宋_GB2312" w:eastAsia="仿宋_GB2312"/>
          <w:sz w:val="24"/>
          <w:color w:val="000000"/>
        </w:rPr>
        <w:t>及时维修自动监测站系统和仪表的故障，防范和减少故障，确保监测数据及时、科学和准确。</w:t>
      </w:r>
    </w:p>
    <w:p>
      <w:pPr>
        <w:pStyle w:val="null3"/>
        <w:ind w:firstLine="482"/>
        <w:jc w:val="both"/>
      </w:pPr>
      <w:r>
        <w:rPr>
          <w:rFonts w:ascii="仿宋_GB2312" w:hAnsi="仿宋_GB2312" w:cs="仿宋_GB2312" w:eastAsia="仿宋_GB2312"/>
          <w:sz w:val="24"/>
          <w:b/>
          <w:color w:val="000000"/>
        </w:rPr>
        <w:t>★1.17未经采购人许可，不得改变原有仪器设备、软件平台及集成系统等自动监测站所有设施；必须负责保证自动监测站数据准确可靠,发现数据有超标值或异常值出现时，应立即查明原因，并采集实际水样进行人工分析确认，负责自动监测站数据24小时实时监控和超标数据或异常数据的报警发送工作。供应商需提供承诺函。</w:t>
      </w:r>
    </w:p>
    <w:p>
      <w:pPr>
        <w:pStyle w:val="null3"/>
        <w:ind w:firstLine="480"/>
        <w:jc w:val="both"/>
      </w:pPr>
      <w:r>
        <w:rPr>
          <w:rFonts w:ascii="仿宋_GB2312" w:hAnsi="仿宋_GB2312" w:cs="仿宋_GB2312" w:eastAsia="仿宋_GB2312"/>
          <w:sz w:val="24"/>
          <w:color w:val="000000"/>
        </w:rPr>
        <w:t>1.18</w:t>
      </w:r>
      <w:r>
        <w:rPr>
          <w:rFonts w:ascii="仿宋_GB2312" w:hAnsi="仿宋_GB2312" w:cs="仿宋_GB2312" w:eastAsia="仿宋_GB2312"/>
          <w:sz w:val="24"/>
          <w:color w:val="000000"/>
        </w:rPr>
        <w:t>除采购人许可外，供应商不得使用监测成果,不得将监测及系统信息传输到生态环境部门以外其他系统，因此造成泄密事件由供应商负责。</w:t>
      </w:r>
    </w:p>
    <w:p>
      <w:pPr>
        <w:pStyle w:val="null3"/>
        <w:ind w:firstLine="480"/>
        <w:jc w:val="both"/>
      </w:pPr>
      <w:r>
        <w:rPr>
          <w:rFonts w:ascii="仿宋_GB2312" w:hAnsi="仿宋_GB2312" w:cs="仿宋_GB2312" w:eastAsia="仿宋_GB2312"/>
          <w:sz w:val="24"/>
          <w:color w:val="000000"/>
        </w:rPr>
        <w:t>1.19</w:t>
      </w:r>
      <w:r>
        <w:rPr>
          <w:rFonts w:ascii="仿宋_GB2312" w:hAnsi="仿宋_GB2312" w:cs="仿宋_GB2312" w:eastAsia="仿宋_GB2312"/>
          <w:sz w:val="24"/>
          <w:color w:val="000000"/>
        </w:rPr>
        <w:t>财产保护</w:t>
      </w:r>
    </w:p>
    <w:p>
      <w:pPr>
        <w:pStyle w:val="null3"/>
        <w:ind w:firstLine="480"/>
        <w:jc w:val="both"/>
      </w:pPr>
      <w:r>
        <w:rPr>
          <w:rFonts w:ascii="仿宋_GB2312" w:hAnsi="仿宋_GB2312" w:cs="仿宋_GB2312" w:eastAsia="仿宋_GB2312"/>
          <w:sz w:val="24"/>
          <w:color w:val="000000"/>
        </w:rPr>
        <w:t>（1）运行管理及维修的全部资产（包括全部产权和建筑物、设备及配套设施）属采购人所有。未经采购人同意，供应商不得以任何方式对各类财产进行出售、抵押或转移；同时，在运行管理及维修期间，供应商有责任保证上述全部资产的完整、安全并处于良好状态。</w:t>
      </w:r>
    </w:p>
    <w:p>
      <w:pPr>
        <w:pStyle w:val="null3"/>
        <w:ind w:firstLine="480"/>
        <w:jc w:val="both"/>
      </w:pPr>
      <w:r>
        <w:rPr>
          <w:rFonts w:ascii="仿宋_GB2312" w:hAnsi="仿宋_GB2312" w:cs="仿宋_GB2312" w:eastAsia="仿宋_GB2312"/>
          <w:sz w:val="24"/>
          <w:color w:val="000000"/>
        </w:rPr>
        <w:t>（2）除不可抗力外，供应商如果不能达到上述1.15、1.16、1.17、1.18条款要求的，采购人有权单方面终止合同，且不承担任何责任。</w:t>
      </w:r>
    </w:p>
    <w:p>
      <w:pPr>
        <w:pStyle w:val="null3"/>
        <w:ind w:firstLine="480"/>
        <w:jc w:val="both"/>
      </w:pPr>
      <w:r>
        <w:rPr>
          <w:rFonts w:ascii="仿宋_GB2312" w:hAnsi="仿宋_GB2312" w:cs="仿宋_GB2312" w:eastAsia="仿宋_GB2312"/>
          <w:sz w:val="24"/>
          <w:color w:val="000000"/>
        </w:rPr>
        <w:t>（3）成交供应商须购买财产保险条款，不可抗力导致的财产损失向保险公司索赔。</w:t>
      </w:r>
    </w:p>
    <w:p>
      <w:pPr>
        <w:pStyle w:val="null3"/>
        <w:ind w:firstLine="480"/>
        <w:jc w:val="both"/>
      </w:pPr>
      <w:r>
        <w:rPr>
          <w:rFonts w:ascii="仿宋_GB2312" w:hAnsi="仿宋_GB2312" w:cs="仿宋_GB2312" w:eastAsia="仿宋_GB2312"/>
          <w:sz w:val="24"/>
          <w:color w:val="000000"/>
        </w:rPr>
        <w:t>1.20</w:t>
      </w:r>
      <w:r>
        <w:rPr>
          <w:rFonts w:ascii="仿宋_GB2312" w:hAnsi="仿宋_GB2312" w:cs="仿宋_GB2312" w:eastAsia="仿宋_GB2312"/>
          <w:sz w:val="24"/>
          <w:color w:val="000000"/>
        </w:rPr>
        <w:t>水质自动站监测运行维护考核规定：</w:t>
      </w:r>
    </w:p>
    <w:p>
      <w:pPr>
        <w:pStyle w:val="null3"/>
        <w:ind w:firstLine="480"/>
        <w:jc w:val="both"/>
      </w:pPr>
      <w:r>
        <w:rPr>
          <w:rFonts w:ascii="仿宋_GB2312" w:hAnsi="仿宋_GB2312" w:cs="仿宋_GB2312" w:eastAsia="仿宋_GB2312"/>
          <w:sz w:val="24"/>
          <w:color w:val="000000"/>
        </w:rPr>
        <w:t>在运维过程中，采购人将从数据获取率、质控要求等指标对供应商进行考核。</w:t>
      </w:r>
    </w:p>
    <w:p>
      <w:pPr>
        <w:pStyle w:val="null3"/>
        <w:ind w:firstLine="480"/>
        <w:jc w:val="both"/>
      </w:pPr>
      <w:r>
        <w:rPr>
          <w:rFonts w:ascii="仿宋_GB2312" w:hAnsi="仿宋_GB2312" w:cs="仿宋_GB2312" w:eastAsia="仿宋_GB2312"/>
          <w:sz w:val="24"/>
          <w:color w:val="000000"/>
        </w:rPr>
        <w:t>（1）运维费扣款内容</w:t>
      </w:r>
    </w:p>
    <w:p>
      <w:pPr>
        <w:pStyle w:val="null3"/>
        <w:ind w:firstLine="480"/>
        <w:jc w:val="both"/>
      </w:pPr>
      <w:r>
        <w:rPr>
          <w:rFonts w:ascii="仿宋_GB2312" w:hAnsi="仿宋_GB2312" w:cs="仿宋_GB2312" w:eastAsia="仿宋_GB2312"/>
          <w:sz w:val="24"/>
          <w:color w:val="000000"/>
        </w:rPr>
        <w:t>实际运维费（数据有效率）</w:t>
      </w:r>
    </w:p>
    <w:p>
      <w:pPr>
        <w:pStyle w:val="null3"/>
        <w:ind w:firstLine="480"/>
        <w:jc w:val="both"/>
      </w:pPr>
      <w:r>
        <w:rPr>
          <w:rFonts w:ascii="仿宋_GB2312" w:hAnsi="仿宋_GB2312" w:cs="仿宋_GB2312" w:eastAsia="仿宋_GB2312"/>
          <w:sz w:val="24"/>
          <w:color w:val="000000"/>
        </w:rPr>
        <w:t>实际运行期间应付运维费按照合同要求的数据有效率考核要求执行。数据有效率是指上位机能获取的有效数据数占仪器设备应获取数据的比例（以日计，监测频次为每4小时一次，每天每站每个参数至少应有6个有效数据）。</w:t>
      </w:r>
    </w:p>
    <w:p>
      <w:pPr>
        <w:pStyle w:val="null3"/>
        <w:ind w:firstLine="480"/>
        <w:jc w:val="both"/>
      </w:pPr>
      <w:r>
        <w:rPr>
          <w:rFonts w:ascii="仿宋_GB2312" w:hAnsi="仿宋_GB2312" w:cs="仿宋_GB2312" w:eastAsia="仿宋_GB2312"/>
          <w:sz w:val="24"/>
          <w:color w:val="000000"/>
        </w:rPr>
        <w:t>按季度对每个站点单独考核，根据实际运行期间的自动数据有效率（扣除停运影响），计算运维费。</w:t>
      </w:r>
    </w:p>
    <w:p>
      <w:pPr>
        <w:pStyle w:val="null3"/>
        <w:ind w:firstLine="480"/>
        <w:jc w:val="both"/>
      </w:pPr>
      <w:r>
        <w:rPr>
          <w:rFonts w:ascii="仿宋_GB2312" w:hAnsi="仿宋_GB2312" w:cs="仿宋_GB2312" w:eastAsia="仿宋_GB2312"/>
          <w:sz w:val="24"/>
          <w:color w:val="000000"/>
        </w:rPr>
        <w:t>①单站考核周期监测数据有效率&gt;90%，不扣款。</w:t>
      </w:r>
    </w:p>
    <w:p>
      <w:pPr>
        <w:pStyle w:val="null3"/>
        <w:ind w:firstLine="480"/>
        <w:jc w:val="both"/>
      </w:pPr>
      <w:r>
        <w:rPr>
          <w:rFonts w:ascii="仿宋_GB2312" w:hAnsi="仿宋_GB2312" w:cs="仿宋_GB2312" w:eastAsia="仿宋_GB2312"/>
          <w:sz w:val="24"/>
          <w:color w:val="000000"/>
        </w:rPr>
        <w:t>②90%≥单站考核周期内监测数据有效率&gt;80%，扣除该付款周期运维费10%，并责令整改。</w:t>
      </w:r>
    </w:p>
    <w:p>
      <w:pPr>
        <w:pStyle w:val="null3"/>
        <w:ind w:firstLine="480"/>
        <w:jc w:val="both"/>
      </w:pPr>
      <w:r>
        <w:rPr>
          <w:rFonts w:ascii="仿宋_GB2312" w:hAnsi="仿宋_GB2312" w:cs="仿宋_GB2312" w:eastAsia="仿宋_GB2312"/>
          <w:sz w:val="24"/>
          <w:color w:val="000000"/>
        </w:rPr>
        <w:t>③80%≥单站考核周期内监测数据有效率在≥60%，扣除该付款周期运维费30%，并责令整改。</w:t>
      </w:r>
    </w:p>
    <w:p>
      <w:pPr>
        <w:pStyle w:val="null3"/>
        <w:ind w:firstLine="480"/>
        <w:jc w:val="both"/>
      </w:pPr>
      <w:r>
        <w:rPr>
          <w:rFonts w:ascii="仿宋_GB2312" w:hAnsi="仿宋_GB2312" w:cs="仿宋_GB2312" w:eastAsia="仿宋_GB2312"/>
          <w:sz w:val="24"/>
          <w:color w:val="000000"/>
        </w:rPr>
        <w:t>④单站考核周期内监测数据有效率&lt;60%，扣除该付款周期全部运维费。</w:t>
      </w:r>
    </w:p>
    <w:p>
      <w:pPr>
        <w:pStyle w:val="null3"/>
        <w:ind w:firstLine="480"/>
        <w:jc w:val="both"/>
      </w:pPr>
      <w:r>
        <w:rPr>
          <w:rFonts w:ascii="仿宋_GB2312" w:hAnsi="仿宋_GB2312" w:cs="仿宋_GB2312" w:eastAsia="仿宋_GB2312"/>
          <w:sz w:val="24"/>
          <w:color w:val="000000"/>
        </w:rPr>
        <w:t>⑤全年平均数据有效率低于60%，取消运维合同。</w:t>
      </w:r>
    </w:p>
    <w:p>
      <w:pPr>
        <w:pStyle w:val="null3"/>
        <w:ind w:firstLine="480"/>
        <w:jc w:val="both"/>
      </w:pPr>
      <w:r>
        <w:rPr>
          <w:rFonts w:ascii="仿宋_GB2312" w:hAnsi="仿宋_GB2312" w:cs="仿宋_GB2312" w:eastAsia="仿宋_GB2312"/>
          <w:sz w:val="24"/>
          <w:color w:val="000000"/>
        </w:rPr>
        <w:t>（2）运维质控措施要求</w:t>
      </w:r>
    </w:p>
    <w:p>
      <w:pPr>
        <w:pStyle w:val="null3"/>
        <w:ind w:firstLine="480"/>
        <w:jc w:val="both"/>
      </w:pPr>
      <w:r>
        <w:rPr>
          <w:rFonts w:ascii="仿宋_GB2312" w:hAnsi="仿宋_GB2312" w:cs="仿宋_GB2312" w:eastAsia="仿宋_GB2312"/>
          <w:sz w:val="24"/>
          <w:color w:val="000000"/>
        </w:rPr>
        <w:t>①月质控要求：每月完成CODcr 、pH、氨氮、总磷（若自动监测站仅有氨氮、总磷指标则仅考核这两项）；未进行核查的，每参数扣减1000元，核查中若有参数未达标的，应尽快测试至达标，若两次测试结果均未达标的，每参数扣款500元；未如实上报的查实后加倍处罚。</w:t>
      </w:r>
    </w:p>
    <w:p>
      <w:pPr>
        <w:pStyle w:val="null3"/>
        <w:ind w:firstLine="480"/>
        <w:jc w:val="both"/>
      </w:pPr>
      <w:r>
        <w:rPr>
          <w:rFonts w:ascii="仿宋_GB2312" w:hAnsi="仿宋_GB2312" w:cs="仿宋_GB2312" w:eastAsia="仿宋_GB2312"/>
          <w:sz w:val="24"/>
          <w:color w:val="000000"/>
        </w:rPr>
        <w:t>（3）考核质控</w:t>
      </w:r>
    </w:p>
    <w:p>
      <w:pPr>
        <w:pStyle w:val="null3"/>
        <w:ind w:firstLine="480"/>
        <w:jc w:val="both"/>
      </w:pPr>
      <w:r>
        <w:rPr>
          <w:rFonts w:ascii="仿宋_GB2312" w:hAnsi="仿宋_GB2312" w:cs="仿宋_GB2312" w:eastAsia="仿宋_GB2312"/>
          <w:sz w:val="24"/>
          <w:color w:val="000000"/>
        </w:rPr>
        <w:t>考核质控分为盲样考核、实际水样比对和现场检查。</w:t>
      </w:r>
    </w:p>
    <w:p>
      <w:pPr>
        <w:pStyle w:val="null3"/>
        <w:ind w:firstLine="480"/>
        <w:jc w:val="both"/>
      </w:pPr>
      <w:r>
        <w:rPr>
          <w:rFonts w:ascii="仿宋_GB2312" w:hAnsi="仿宋_GB2312" w:cs="仿宋_GB2312" w:eastAsia="仿宋_GB2312"/>
          <w:sz w:val="24"/>
          <w:color w:val="000000"/>
        </w:rPr>
        <w:t>①盲样考核</w:t>
      </w:r>
    </w:p>
    <w:p>
      <w:pPr>
        <w:pStyle w:val="null3"/>
        <w:ind w:firstLine="480"/>
        <w:jc w:val="both"/>
      </w:pPr>
      <w:r>
        <w:rPr>
          <w:rFonts w:ascii="仿宋_GB2312" w:hAnsi="仿宋_GB2312" w:cs="仿宋_GB2312" w:eastAsia="仿宋_GB2312"/>
          <w:sz w:val="24"/>
          <w:color w:val="000000"/>
        </w:rPr>
        <w:t>由采购人发放未知质控样进行考核，所有项目的测试应在场的情况下完成，结果及时上报。结果达不到要求的允许再进行一次，两次均不合格的每个参数扣款1000元。</w:t>
      </w:r>
    </w:p>
    <w:p>
      <w:pPr>
        <w:pStyle w:val="null3"/>
        <w:ind w:firstLine="480"/>
        <w:jc w:val="both"/>
      </w:pPr>
      <w:r>
        <w:rPr>
          <w:rFonts w:ascii="仿宋_GB2312" w:hAnsi="仿宋_GB2312" w:cs="仿宋_GB2312" w:eastAsia="仿宋_GB2312"/>
          <w:sz w:val="24"/>
          <w:color w:val="000000"/>
        </w:rPr>
        <w:t>②实际水样比对</w:t>
      </w:r>
    </w:p>
    <w:p>
      <w:pPr>
        <w:pStyle w:val="null3"/>
        <w:ind w:firstLine="480"/>
        <w:jc w:val="both"/>
      </w:pPr>
      <w:r>
        <w:rPr>
          <w:rFonts w:ascii="仿宋_GB2312" w:hAnsi="仿宋_GB2312" w:cs="仿宋_GB2312" w:eastAsia="仿宋_GB2312"/>
          <w:sz w:val="24"/>
          <w:color w:val="000000"/>
        </w:rPr>
        <w:t>采购人每半年开展手工比对工作，所有项目的测试结果及时上报，结果达不到要求的每个参数扣款1000元。</w:t>
      </w:r>
    </w:p>
    <w:p>
      <w:pPr>
        <w:pStyle w:val="null3"/>
        <w:ind w:firstLine="480"/>
        <w:jc w:val="both"/>
      </w:pPr>
      <w:r>
        <w:rPr>
          <w:rFonts w:ascii="仿宋_GB2312" w:hAnsi="仿宋_GB2312" w:cs="仿宋_GB2312" w:eastAsia="仿宋_GB2312"/>
          <w:sz w:val="24"/>
          <w:color w:val="000000"/>
        </w:rPr>
        <w:t>（4）弄虚作假考核</w:t>
      </w:r>
    </w:p>
    <w:p>
      <w:pPr>
        <w:pStyle w:val="null3"/>
        <w:ind w:firstLine="480"/>
        <w:jc w:val="both"/>
      </w:pPr>
      <w:r>
        <w:rPr>
          <w:rFonts w:ascii="仿宋_GB2312" w:hAnsi="仿宋_GB2312" w:cs="仿宋_GB2312" w:eastAsia="仿宋_GB2312"/>
          <w:sz w:val="24"/>
          <w:color w:val="000000"/>
        </w:rPr>
        <w:t>当出现《环境监测数据弄虚作假行为判定及处理办法》中规定的篡改、伪造或者指使篡改、伪造监测数据等行为时，扣除该站当月运维费，采取中止运维合同的措施，违反法律法规的，依照国家法律法规和有关规定予以处理。</w:t>
      </w:r>
    </w:p>
    <w:p>
      <w:pPr>
        <w:pStyle w:val="null3"/>
        <w:ind w:firstLine="480"/>
        <w:jc w:val="both"/>
      </w:pPr>
      <w:r>
        <w:rPr>
          <w:rFonts w:ascii="仿宋_GB2312" w:hAnsi="仿宋_GB2312" w:cs="仿宋_GB2312" w:eastAsia="仿宋_GB2312"/>
          <w:sz w:val="24"/>
          <w:color w:val="000000"/>
        </w:rPr>
        <w:t>1.21</w:t>
      </w:r>
      <w:r>
        <w:rPr>
          <w:rFonts w:ascii="仿宋_GB2312" w:hAnsi="仿宋_GB2312" w:cs="仿宋_GB2312" w:eastAsia="仿宋_GB2312"/>
          <w:sz w:val="24"/>
          <w:color w:val="000000"/>
        </w:rPr>
        <w:t>运行管理要求及考核参照依据</w:t>
      </w:r>
    </w:p>
    <w:p>
      <w:pPr>
        <w:pStyle w:val="null3"/>
        <w:ind w:firstLine="480"/>
        <w:jc w:val="both"/>
      </w:pPr>
      <w:r>
        <w:rPr>
          <w:rFonts w:ascii="仿宋_GB2312" w:hAnsi="仿宋_GB2312" w:cs="仿宋_GB2312" w:eastAsia="仿宋_GB2312"/>
          <w:sz w:val="24"/>
          <w:color w:val="000000"/>
        </w:rPr>
        <w:t>（1）自动监测站自动监测数据按照采购人的要求接入相关生态环境部门的平台,接受属地生态环境部门的日常监管和质控考核，采购人应积极主动配合属地监管的生态环境部门做好运行管理工作。</w:t>
      </w:r>
    </w:p>
    <w:p>
      <w:pPr>
        <w:pStyle w:val="null3"/>
        <w:ind w:firstLine="480"/>
        <w:jc w:val="both"/>
      </w:pPr>
      <w:r>
        <w:rPr>
          <w:rFonts w:ascii="仿宋_GB2312" w:hAnsi="仿宋_GB2312" w:cs="仿宋_GB2312" w:eastAsia="仿宋_GB2312"/>
          <w:sz w:val="24"/>
          <w:color w:val="000000"/>
        </w:rPr>
        <w:t>（2）浮标自动监测站仪器设备性能考核及数据质控要求参照《福建省地表水水质自动监测站管理及运行维护技术要求（试行）》（闽环站函［2019］11号），并由采购人进行考核。若有新标准或新规定下达，则以新标准和新规定为准实施。</w:t>
      </w:r>
    </w:p>
    <w:p>
      <w:pPr>
        <w:pStyle w:val="null3"/>
        <w:ind w:firstLine="480"/>
        <w:jc w:val="both"/>
      </w:pPr>
      <w:r>
        <w:rPr>
          <w:rFonts w:ascii="仿宋_GB2312" w:hAnsi="仿宋_GB2312" w:cs="仿宋_GB2312" w:eastAsia="仿宋_GB2312"/>
          <w:sz w:val="24"/>
          <w:color w:val="000000"/>
        </w:rPr>
        <w:t>（3）本次项目中污水自动监测站的考核要求参照《水污染源在线监测系统运行与考核技术规范》（HJ/T355-2007）。</w:t>
      </w:r>
    </w:p>
    <w:p>
      <w:pPr>
        <w:pStyle w:val="null3"/>
        <w:ind w:firstLine="480"/>
        <w:jc w:val="both"/>
      </w:pPr>
      <w:r>
        <w:rPr>
          <w:rFonts w:ascii="仿宋_GB2312" w:hAnsi="仿宋_GB2312" w:cs="仿宋_GB2312" w:eastAsia="仿宋_GB2312"/>
          <w:sz w:val="24"/>
          <w:color w:val="000000"/>
        </w:rPr>
        <w:t>1.22</w:t>
      </w:r>
      <w:r>
        <w:rPr>
          <w:rFonts w:ascii="仿宋_GB2312" w:hAnsi="仿宋_GB2312" w:cs="仿宋_GB2312" w:eastAsia="仿宋_GB2312"/>
          <w:sz w:val="24"/>
          <w:color w:val="000000"/>
        </w:rPr>
        <w:t>仪器维护维修要求</w:t>
      </w:r>
    </w:p>
    <w:p>
      <w:pPr>
        <w:pStyle w:val="null3"/>
        <w:ind w:firstLine="480"/>
        <w:jc w:val="both"/>
      </w:pPr>
      <w:r>
        <w:rPr>
          <w:rFonts w:ascii="仿宋_GB2312" w:hAnsi="仿宋_GB2312" w:cs="仿宋_GB2312" w:eastAsia="仿宋_GB2312"/>
          <w:sz w:val="24"/>
          <w:color w:val="000000"/>
        </w:rPr>
        <w:t>1.22.1</w:t>
      </w:r>
      <w:r>
        <w:rPr>
          <w:rFonts w:ascii="仿宋_GB2312" w:hAnsi="仿宋_GB2312" w:cs="仿宋_GB2312" w:eastAsia="仿宋_GB2312"/>
          <w:sz w:val="24"/>
          <w:color w:val="000000"/>
        </w:rPr>
        <w:t>农村污水自动监测站及黑臭水体自动监测站技术要求</w:t>
      </w:r>
    </w:p>
    <w:p>
      <w:pPr>
        <w:pStyle w:val="null3"/>
        <w:ind w:firstLine="480"/>
        <w:jc w:val="both"/>
      </w:pPr>
      <w:r>
        <w:rPr>
          <w:rFonts w:ascii="仿宋_GB2312" w:hAnsi="仿宋_GB2312" w:cs="仿宋_GB2312" w:eastAsia="仿宋_GB2312"/>
          <w:sz w:val="24"/>
          <w:color w:val="000000"/>
        </w:rPr>
        <w:t>（1）水质自动监测系统中所有仪器设备（仪表、水泵、控制柜、PLC、稳压器、工控机等）和数据传输软件及免费升级皆为维修维保范围，所有设备的损坏皆由供应商负责维修或更换。</w:t>
      </w:r>
    </w:p>
    <w:p>
      <w:pPr>
        <w:pStyle w:val="null3"/>
        <w:ind w:firstLine="480"/>
        <w:jc w:val="both"/>
      </w:pPr>
      <w:r>
        <w:rPr>
          <w:rFonts w:ascii="仿宋_GB2312" w:hAnsi="仿宋_GB2312" w:cs="仿宋_GB2312" w:eastAsia="仿宋_GB2312"/>
          <w:sz w:val="24"/>
          <w:color w:val="000000"/>
        </w:rPr>
        <w:t>（2）仪器设备故障，供应商应在发现故障之时起36小时内必须派人到达现场修理。未在36小时内派人到达现场修理，采购人可委托其它单位或人员修理，所发生的费用从供应商运营费或维修费内扣除。</w:t>
      </w:r>
    </w:p>
    <w:p>
      <w:pPr>
        <w:pStyle w:val="null3"/>
        <w:ind w:firstLine="480"/>
        <w:jc w:val="both"/>
      </w:pPr>
      <w:r>
        <w:rPr>
          <w:rFonts w:ascii="仿宋_GB2312" w:hAnsi="仿宋_GB2312" w:cs="仿宋_GB2312" w:eastAsia="仿宋_GB2312"/>
          <w:sz w:val="24"/>
          <w:color w:val="000000"/>
        </w:rPr>
        <w:t>（3）供应商连续3次未能履行维修责任，采购人可单方面中止协议，扣除未支付的剩余合同费用；供应商应赔偿由此给采购人造成的损失。</w:t>
      </w:r>
    </w:p>
    <w:p>
      <w:pPr>
        <w:pStyle w:val="null3"/>
        <w:ind w:firstLine="480"/>
        <w:jc w:val="both"/>
      </w:pPr>
      <w:r>
        <w:rPr>
          <w:rFonts w:ascii="仿宋_GB2312" w:hAnsi="仿宋_GB2312" w:cs="仿宋_GB2312" w:eastAsia="仿宋_GB2312"/>
          <w:sz w:val="24"/>
          <w:color w:val="000000"/>
        </w:rPr>
        <w:t>1.22.2</w:t>
      </w:r>
      <w:r>
        <w:rPr>
          <w:rFonts w:ascii="仿宋_GB2312" w:hAnsi="仿宋_GB2312" w:cs="仿宋_GB2312" w:eastAsia="仿宋_GB2312"/>
          <w:sz w:val="24"/>
          <w:color w:val="000000"/>
        </w:rPr>
        <w:t>浮标自动监测站运营维护要求</w:t>
      </w:r>
    </w:p>
    <w:p>
      <w:pPr>
        <w:pStyle w:val="null3"/>
        <w:ind w:firstLine="480"/>
        <w:jc w:val="both"/>
      </w:pPr>
      <w:r>
        <w:rPr>
          <w:rFonts w:ascii="仿宋_GB2312" w:hAnsi="仿宋_GB2312" w:cs="仿宋_GB2312" w:eastAsia="仿宋_GB2312"/>
          <w:sz w:val="24"/>
          <w:color w:val="000000"/>
        </w:rPr>
        <w:t>（1）供应商每次维护应检查整个浮标系统的所有设备、仪器的运行和通讯情况，检查各个仪器、设备电缆接口是否正常，保证浮标的安全、供电、监测、通讯状况良好；每次维护应检浮标站系统的有设备、仪器运行状态，保证监测站的安全和正常有效监测；</w:t>
      </w:r>
    </w:p>
    <w:p>
      <w:pPr>
        <w:pStyle w:val="null3"/>
        <w:ind w:firstLine="480"/>
        <w:jc w:val="both"/>
      </w:pPr>
      <w:r>
        <w:rPr>
          <w:rFonts w:ascii="仿宋_GB2312" w:hAnsi="仿宋_GB2312" w:cs="仿宋_GB2312" w:eastAsia="仿宋_GB2312"/>
          <w:sz w:val="24"/>
          <w:color w:val="000000"/>
        </w:rPr>
        <w:t>▲（2）供应商应根据要求（每个月至少一次）对浮标监测仪器进行维护(包括浮标监测仪器实施标液检验)，任一设备未完成一次，扣除人民币壹佰元整，如因天气等客观原因，未能及时校准或检验，可相应延长校准或检验等工作的维护周期。如任一设备出现连续两次准确度检验不合格的情况，则采购人可单方终止该合同的执行，产生的损失，供应商应付全责，以上内容供应商须提供承诺函。</w:t>
      </w:r>
    </w:p>
    <w:p>
      <w:pPr>
        <w:pStyle w:val="null3"/>
        <w:ind w:firstLine="480"/>
        <w:jc w:val="both"/>
      </w:pPr>
      <w:r>
        <w:rPr>
          <w:rFonts w:ascii="仿宋_GB2312" w:hAnsi="仿宋_GB2312" w:cs="仿宋_GB2312" w:eastAsia="仿宋_GB2312"/>
          <w:sz w:val="24"/>
          <w:color w:val="000000"/>
        </w:rPr>
        <w:t>▲（3）供应商应按要求每月一次检查、清洁、维护浮标系统以及每四个月一次对仪器实施防护措施并作相应记录，任一设备未完成一次，扣除人民币伍佰元整，以上内容供应商须提供承诺函。</w:t>
      </w:r>
    </w:p>
    <w:p>
      <w:pPr>
        <w:pStyle w:val="null3"/>
        <w:ind w:firstLine="480"/>
        <w:jc w:val="both"/>
      </w:pPr>
      <w:r>
        <w:rPr>
          <w:rFonts w:ascii="仿宋_GB2312" w:hAnsi="仿宋_GB2312" w:cs="仿宋_GB2312" w:eastAsia="仿宋_GB2312"/>
          <w:sz w:val="24"/>
          <w:color w:val="000000"/>
        </w:rPr>
        <w:t>▲（4）供应商每年应进行一次系统维护性检修，对浮标系统（包括整个标体和锚链系统）进行检查，更换老化配件与管路，并作记录，任一设备未完成一次，扣除人民币伍佰元整，以上内容供应商须提供承诺函。</w:t>
      </w:r>
    </w:p>
    <w:p>
      <w:pPr>
        <w:pStyle w:val="null3"/>
        <w:ind w:firstLine="480"/>
        <w:jc w:val="both"/>
      </w:pPr>
      <w:r>
        <w:rPr>
          <w:rFonts w:ascii="仿宋_GB2312" w:hAnsi="仿宋_GB2312" w:cs="仿宋_GB2312" w:eastAsia="仿宋_GB2312"/>
          <w:sz w:val="24"/>
          <w:color w:val="000000"/>
        </w:rPr>
        <w:t>▲（5）供应商每次完成维护工作后，应按照采购人认可或采购人指定的工作表格做好维护计划、记录、报告，并按规定及时上报采购人，日常运营维护记录的内容应包括试剂配制、试剂更换，系统及仪器维护情况，数据异常、仪器故障情况，质控考核、水样比对情况等。（未记录视为未完成运营维护工作），如经核实未完成相关工作的，每次扣除人民币伍佰元整，以上内容供应商须提供承诺函。</w:t>
      </w:r>
    </w:p>
    <w:p>
      <w:pPr>
        <w:pStyle w:val="null3"/>
        <w:ind w:firstLine="480"/>
        <w:jc w:val="both"/>
      </w:pPr>
      <w:r>
        <w:rPr>
          <w:rFonts w:ascii="仿宋_GB2312" w:hAnsi="仿宋_GB2312" w:cs="仿宋_GB2312" w:eastAsia="仿宋_GB2312"/>
          <w:sz w:val="24"/>
          <w:color w:val="000000"/>
        </w:rPr>
        <w:t>（6）供应商每次维护应检查自动监测系统在线监测仪器的试剂、标样使用情况，按照规定更换试剂。所有在用试剂保存袋外壁应粘贴标签，标签上标明试剂名 称、配制时间、保存时间、试剂浓度等内容。系统自动监测中仪器分析产生的废液应及时按有关规定进行处理，不得对监测水体造成污染。</w:t>
      </w:r>
    </w:p>
    <w:p>
      <w:pPr>
        <w:pStyle w:val="null3"/>
        <w:ind w:firstLine="480"/>
        <w:jc w:val="both"/>
      </w:pPr>
      <w:r>
        <w:rPr>
          <w:rFonts w:ascii="仿宋_GB2312" w:hAnsi="仿宋_GB2312" w:cs="仿宋_GB2312" w:eastAsia="仿宋_GB2312"/>
          <w:sz w:val="24"/>
          <w:color w:val="000000"/>
        </w:rPr>
        <w:t>（7）供应商每个维护周期必须对仪器外部和内部进行清洁，保持仪器设备整洁和良好运行；每个维护周期应清洗、检查仪器的各种进样管路，并根据损耗情况进行维护和更换。</w:t>
      </w:r>
    </w:p>
    <w:p>
      <w:pPr>
        <w:pStyle w:val="null3"/>
        <w:ind w:firstLine="480"/>
        <w:jc w:val="both"/>
      </w:pPr>
      <w:r>
        <w:rPr>
          <w:rFonts w:ascii="仿宋_GB2312" w:hAnsi="仿宋_GB2312" w:cs="仿宋_GB2312" w:eastAsia="仿宋_GB2312"/>
          <w:sz w:val="24"/>
          <w:color w:val="000000"/>
        </w:rPr>
        <w:t>（8）供应商应了解自动监测系统所在水域监测数据正常水平情况。如发现数据严重异常且非仪器故障方面引起，或判断为可能发生污染事件后，供应商应及时将异常情况通知采购人的浮标系统管理人员。</w:t>
      </w:r>
    </w:p>
    <w:p>
      <w:pPr>
        <w:pStyle w:val="null3"/>
        <w:ind w:firstLine="480"/>
        <w:jc w:val="both"/>
      </w:pPr>
      <w:r>
        <w:rPr>
          <w:rFonts w:ascii="仿宋_GB2312" w:hAnsi="仿宋_GB2312" w:cs="仿宋_GB2312" w:eastAsia="仿宋_GB2312"/>
          <w:sz w:val="24"/>
          <w:color w:val="000000"/>
        </w:rPr>
        <w:t>（9）供应商负责所有易耗品与配件的安装调试工作。当系统或仪器设备因易耗品或配件损坏（失窃及不可抗拒因素导致的除外）或老化等原因导致系统或仪器设备无法正常运行时，供应商应在3日内更换易耗品或配件，保证系统或仪器设备及时恢复正常运行。如预计仪器设备可能停止运行超过48小时的，应与采购人的自动监测系统管理人员协商解决办法。</w:t>
      </w:r>
    </w:p>
    <w:p>
      <w:pPr>
        <w:pStyle w:val="null3"/>
        <w:ind w:firstLine="480"/>
        <w:jc w:val="both"/>
      </w:pPr>
      <w:r>
        <w:rPr>
          <w:rFonts w:ascii="仿宋_GB2312" w:hAnsi="仿宋_GB2312" w:cs="仿宋_GB2312" w:eastAsia="仿宋_GB2312"/>
          <w:sz w:val="24"/>
          <w:color w:val="000000"/>
        </w:rPr>
        <w:t>（10）供应商要按期检修和加固浮标的锚链。</w:t>
      </w:r>
    </w:p>
    <w:p>
      <w:pPr>
        <w:pStyle w:val="null3"/>
        <w:ind w:firstLine="480"/>
        <w:jc w:val="both"/>
      </w:pPr>
      <w:r>
        <w:rPr>
          <w:rFonts w:ascii="仿宋_GB2312" w:hAnsi="仿宋_GB2312" w:cs="仿宋_GB2312" w:eastAsia="仿宋_GB2312"/>
          <w:sz w:val="24"/>
          <w:color w:val="000000"/>
        </w:rPr>
        <w:t>（11）在运营维护服务期间，如遇台风、雷电、碰撞、失窃等自然灾害或不可抗拒因素导致的浮标系统跑标和故障，供应商必须进行故障处理,如导致仪器设备故障，预计无法在48小时内修复的，应与采购人的系统管理人员协商解决办法；当浮标站点因台风、雷电、碰撞、失窃、渔船拖网断锚等因素导致的跑标和损坏或故障，供应商必须负责配合采购人进行现场勘察和故障处理，由此产生的费用由供应商负责（不含设备维修或重新购置费用）。</w:t>
      </w:r>
    </w:p>
    <w:p>
      <w:pPr>
        <w:pStyle w:val="null3"/>
        <w:ind w:firstLine="480"/>
        <w:jc w:val="both"/>
      </w:pPr>
      <w:r>
        <w:rPr>
          <w:rFonts w:ascii="仿宋_GB2312" w:hAnsi="仿宋_GB2312" w:cs="仿宋_GB2312" w:eastAsia="仿宋_GB2312"/>
          <w:sz w:val="24"/>
          <w:color w:val="000000"/>
        </w:rPr>
        <w:t>（12）在台风高发期之前应仔细检查锚链系统的可靠性，确保能在13级台风下不会发生较大的位置偏移或跑标。台风来临前，供应商必须按采购人要求进行自动监测仪器的应急处理。当浮标站发生偏移或跑标时，在风浪允许的条件下立即出勤处理，如果因人为因素或设备故障监管监控不到位造成浮标丢失无法找回，供应商须照价赔偿或免费更换同等性能质量的设备。</w:t>
      </w:r>
    </w:p>
    <w:p>
      <w:pPr>
        <w:pStyle w:val="null3"/>
        <w:ind w:firstLine="480"/>
        <w:jc w:val="both"/>
      </w:pPr>
      <w:r>
        <w:rPr>
          <w:rFonts w:ascii="仿宋_GB2312" w:hAnsi="仿宋_GB2312" w:cs="仿宋_GB2312" w:eastAsia="仿宋_GB2312"/>
          <w:sz w:val="24"/>
          <w:color w:val="000000"/>
        </w:rPr>
        <w:t>（13）供应商应确保运维服务期间本项目浮标系统新增监测指标的数据传输及相应软件修改或升级。</w:t>
      </w:r>
    </w:p>
    <w:p>
      <w:pPr>
        <w:pStyle w:val="null3"/>
        <w:ind w:firstLine="480"/>
        <w:jc w:val="both"/>
      </w:pPr>
      <w:r>
        <w:rPr>
          <w:rFonts w:ascii="仿宋_GB2312" w:hAnsi="仿宋_GB2312" w:cs="仿宋_GB2312" w:eastAsia="仿宋_GB2312"/>
          <w:sz w:val="24"/>
          <w:color w:val="000000"/>
        </w:rPr>
        <w:t>（14）采购人如需要增加个别探头或监测项目时，供应商应负责配合设备的供应、安装、调试工作，并在双方协商后，负责新增设备的运营维护工作。</w:t>
      </w:r>
    </w:p>
    <w:p>
      <w:pPr>
        <w:pStyle w:val="null3"/>
        <w:ind w:firstLine="480"/>
        <w:jc w:val="both"/>
      </w:pPr>
      <w:r>
        <w:rPr>
          <w:rFonts w:ascii="仿宋_GB2312" w:hAnsi="仿宋_GB2312" w:cs="仿宋_GB2312" w:eastAsia="仿宋_GB2312"/>
          <w:sz w:val="24"/>
          <w:color w:val="000000"/>
        </w:rPr>
        <w:t>1.23</w:t>
      </w:r>
      <w:r>
        <w:rPr>
          <w:rFonts w:ascii="仿宋_GB2312" w:hAnsi="仿宋_GB2312" w:cs="仿宋_GB2312" w:eastAsia="仿宋_GB2312"/>
          <w:sz w:val="24"/>
          <w:color w:val="000000"/>
        </w:rPr>
        <w:t>管理要求</w:t>
      </w:r>
    </w:p>
    <w:p>
      <w:pPr>
        <w:pStyle w:val="null3"/>
        <w:ind w:firstLine="480"/>
        <w:jc w:val="both"/>
      </w:pPr>
      <w:r>
        <w:rPr>
          <w:rFonts w:ascii="仿宋_GB2312" w:hAnsi="仿宋_GB2312" w:cs="仿宋_GB2312" w:eastAsia="仿宋_GB2312"/>
          <w:sz w:val="24"/>
          <w:color w:val="000000"/>
        </w:rPr>
        <w:t>（1）在运维管理期间，供应商拥有管理自主权，但没有对外经营权。未经采购人同意，采购人不得利用本项目的所有资料对外开展技术交流、业务联系、数据交换等。</w:t>
      </w:r>
    </w:p>
    <w:p>
      <w:pPr>
        <w:pStyle w:val="null3"/>
        <w:ind w:firstLine="480"/>
        <w:jc w:val="both"/>
      </w:pPr>
      <w:r>
        <w:rPr>
          <w:rFonts w:ascii="仿宋_GB2312" w:hAnsi="仿宋_GB2312" w:cs="仿宋_GB2312" w:eastAsia="仿宋_GB2312"/>
          <w:sz w:val="24"/>
          <w:color w:val="000000"/>
        </w:rPr>
        <w:t>（2）在运维管理期间，供应商应严格按照采购人制订的操作规范和和规章制度，对所管理的系统及仪器设备进行规范操作和精心维护及必要维修，保证系统及仪器设备的正常运行，达到采购人提出的系统及仪器设备考核指标要求。采购人必须接受供应商代表提出的各项指令，接受采购人代表的检查和考核。</w:t>
      </w:r>
    </w:p>
    <w:p>
      <w:pPr>
        <w:pStyle w:val="null3"/>
        <w:ind w:firstLine="480"/>
        <w:jc w:val="both"/>
      </w:pPr>
      <w:r>
        <w:rPr>
          <w:rFonts w:ascii="仿宋_GB2312" w:hAnsi="仿宋_GB2312" w:cs="仿宋_GB2312" w:eastAsia="仿宋_GB2312"/>
          <w:sz w:val="24"/>
          <w:color w:val="000000"/>
        </w:rPr>
        <w:t>（3）在运维管理期间，供应商应承担仪器设备的保管责任。供应商必须遵守安全保卫制度，配备具有一定专业技能的专职看守人员，配齐专用安全、消防等器材，保证仪器设备的安全。因为供应商的保管责任导致仪器设备的丢失，供应商应进行赔偿，并确保赔偿的仪器设备参数指标符合要求、能正常运行。</w:t>
      </w:r>
    </w:p>
    <w:p>
      <w:pPr>
        <w:pStyle w:val="null3"/>
        <w:ind w:firstLine="480"/>
        <w:jc w:val="both"/>
      </w:pPr>
      <w:r>
        <w:rPr>
          <w:rFonts w:ascii="仿宋_GB2312" w:hAnsi="仿宋_GB2312" w:cs="仿宋_GB2312" w:eastAsia="仿宋_GB2312"/>
          <w:sz w:val="24"/>
          <w:color w:val="000000"/>
        </w:rPr>
        <w:t>（4）在运维管理期间，供应商应承担安全、消防等所有生产责任（不可抗力因素除外）。供应商应按安全生产有关规定，建立安全生产制度，切实消除安全隐患。</w:t>
      </w:r>
    </w:p>
    <w:p>
      <w:pPr>
        <w:pStyle w:val="null3"/>
        <w:ind w:firstLine="480"/>
        <w:jc w:val="both"/>
      </w:pPr>
      <w:r>
        <w:rPr>
          <w:rFonts w:ascii="仿宋_GB2312" w:hAnsi="仿宋_GB2312" w:cs="仿宋_GB2312" w:eastAsia="仿宋_GB2312"/>
          <w:sz w:val="24"/>
          <w:color w:val="000000"/>
        </w:rPr>
        <w:t>（5）不论何时，供应商都应承担监测数据的保密责任。供应商按照采购人的要求，进行报告和传输有关的监测数据，均不得向外界传递任何监测数据。</w:t>
      </w:r>
    </w:p>
    <w:p>
      <w:pPr>
        <w:pStyle w:val="null3"/>
        <w:ind w:firstLine="480"/>
        <w:jc w:val="both"/>
      </w:pPr>
      <w:r>
        <w:rPr>
          <w:rFonts w:ascii="仿宋_GB2312" w:hAnsi="仿宋_GB2312" w:cs="仿宋_GB2312" w:eastAsia="仿宋_GB2312"/>
          <w:sz w:val="24"/>
          <w:color w:val="000000"/>
        </w:rPr>
        <w:t>（6）供应商可根据实际需求及管理需要自行制定各类记录表，各记录表包含内容至少包含如下内容: 自动监测站基本情况信息表、自动监测站巡检维护记录表、自动监测站试剂及标准样品更换记录表、校准标液核查检查结果记录表、仪器设备检修记录表、易耗品和备品备件更换记录表、废液收集交接记录表等。</w:t>
      </w:r>
    </w:p>
    <w:p>
      <w:pPr>
        <w:pStyle w:val="null3"/>
        <w:ind w:firstLine="480"/>
        <w:jc w:val="both"/>
      </w:pPr>
      <w:r>
        <w:rPr>
          <w:rFonts w:ascii="仿宋_GB2312" w:hAnsi="仿宋_GB2312" w:cs="仿宋_GB2312" w:eastAsia="仿宋_GB2312"/>
          <w:sz w:val="24"/>
          <w:color w:val="000000"/>
        </w:rPr>
        <w:t>（7）在运维管理期间，供应商应按照国家有关用人用工制度和劳动管理等法律法规进行人事管理；采购人对供应商员工人身安全、劳资纠纷概不负责。</w:t>
      </w:r>
    </w:p>
    <w:p>
      <w:pPr>
        <w:pStyle w:val="null3"/>
        <w:ind w:firstLine="480"/>
        <w:jc w:val="both"/>
      </w:pPr>
      <w:r>
        <w:rPr>
          <w:rFonts w:ascii="仿宋_GB2312" w:hAnsi="仿宋_GB2312" w:cs="仿宋_GB2312" w:eastAsia="仿宋_GB2312"/>
          <w:sz w:val="24"/>
          <w:color w:val="000000"/>
        </w:rPr>
        <w:t>（8）本项目运维管理过程中需经采购人审核同意事项：</w:t>
      </w:r>
    </w:p>
    <w:p>
      <w:pPr>
        <w:pStyle w:val="null3"/>
        <w:ind w:firstLine="480"/>
        <w:jc w:val="both"/>
      </w:pPr>
      <w:r>
        <w:rPr>
          <w:rFonts w:ascii="仿宋_GB2312" w:hAnsi="仿宋_GB2312" w:cs="仿宋_GB2312" w:eastAsia="仿宋_GB2312"/>
          <w:sz w:val="24"/>
          <w:color w:val="000000"/>
        </w:rPr>
        <w:t>项目运行管理操作规范和规章制度；固定资产的增添、外购及维修费用支出等；项目人员数量的增减。</w:t>
      </w:r>
    </w:p>
    <w:p>
      <w:pPr>
        <w:pStyle w:val="null3"/>
        <w:ind w:firstLine="480"/>
        <w:jc w:val="both"/>
      </w:pPr>
      <w:r>
        <w:rPr>
          <w:rFonts w:ascii="仿宋_GB2312" w:hAnsi="仿宋_GB2312" w:cs="仿宋_GB2312" w:eastAsia="仿宋_GB2312"/>
          <w:sz w:val="24"/>
          <w:color w:val="000000"/>
        </w:rPr>
        <w:t>（9）筹备及移交</w:t>
      </w:r>
    </w:p>
    <w:p>
      <w:pPr>
        <w:pStyle w:val="null3"/>
      </w:pPr>
      <w:r>
        <w:rPr>
          <w:rFonts w:ascii="仿宋_GB2312" w:hAnsi="仿宋_GB2312" w:cs="仿宋_GB2312" w:eastAsia="仿宋_GB2312"/>
          <w:sz w:val="24"/>
          <w:color w:val="000000"/>
        </w:rPr>
        <w:t>委托合同期满前30天，供应商应做好向采购人移交全部合格的仪器设备及设施的准备。若有损坏或故障，应及时修复，未及时修复的应提供备机，并依据交接要求开展交接工作。</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服务期：合同签订生效，项目服务期1年。采购人可根据成交供应商运维单位年度服务考核情况，进行续签或终止维护服务，根据《财政部关于推进和完善服务项目政府采购有关问题的通知》、《厦门市财政局关于服务项目延续采购有关问题的通知》（厦财采〔2023〕2号）的规定，本项目合同到期后，考核合格，可续签合同，续签最多不得超过两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厦门市行政区域内采购人指定地点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项目验收合格后交付使用</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1、期次1，说明：磋商文件、响应文件、国家相关规范及行业标准要求，均为验收依据。</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1、验收合格后，达到付款条件起7日内，支付合同总金额的100.00%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格式原因，序号6合同支付方式以本项为准：每季度运维完成后采购人根据供应商履行合同的考核情况支付该该季度的费用，供应商提供同等金额的正式发票的7个工作日内支付。考核结果未达到采购人规定的考核指标时要相应扣除其费用，各项扣款在每季度付款时执行。</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color w:val="000000"/>
        </w:rPr>
        <w:t>9</w:t>
      </w:r>
      <w:r>
        <w:rPr>
          <w:rFonts w:ascii="仿宋_GB2312" w:hAnsi="仿宋_GB2312" w:cs="仿宋_GB2312" w:eastAsia="仿宋_GB2312"/>
          <w:sz w:val="21"/>
          <w:b/>
          <w:color w:val="000000"/>
        </w:rPr>
        <w:t>、验收标准及要求</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r>
        <w:rPr>
          <w:rFonts w:ascii="仿宋_GB2312" w:hAnsi="仿宋_GB2312" w:cs="仿宋_GB2312" w:eastAsia="仿宋_GB2312"/>
          <w:sz w:val="21"/>
          <w:color w:val="000000"/>
        </w:rPr>
        <w:t>验收标准：国家、地方和行业现行有关技术规范、标准、设计要求以及磋商文件、响应文件。及上级相关调查、检查、考核结论结果的通报。</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.2</w:t>
      </w:r>
      <w:r>
        <w:rPr>
          <w:rFonts w:ascii="仿宋_GB2312" w:hAnsi="仿宋_GB2312" w:cs="仿宋_GB2312" w:eastAsia="仿宋_GB2312"/>
          <w:sz w:val="21"/>
          <w:color w:val="000000"/>
        </w:rPr>
        <w:t>由采购人内部组织验收。采购人在合同期满后组织，以现场复核、资料审核等形式对成交供应商服务情况进行评审。采购人评审验收结果作为支付服务费用依据。</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.3</w:t>
      </w:r>
      <w:r>
        <w:rPr>
          <w:rFonts w:ascii="仿宋_GB2312" w:hAnsi="仿宋_GB2312" w:cs="仿宋_GB2312" w:eastAsia="仿宋_GB2312"/>
          <w:sz w:val="21"/>
          <w:color w:val="000000"/>
        </w:rPr>
        <w:t>验收时成交供应商必须派代表参加。</w:t>
      </w:r>
    </w:p>
    <w:p>
      <w:pPr>
        <w:pStyle w:val="null3"/>
        <w:ind w:firstLine="420"/>
      </w:pPr>
      <w:r>
        <w:rPr>
          <w:rFonts w:ascii="仿宋_GB2312" w:hAnsi="仿宋_GB2312" w:cs="仿宋_GB2312" w:eastAsia="仿宋_GB2312"/>
          <w:sz w:val="21"/>
          <w:color w:val="000000"/>
        </w:rPr>
        <w:t>9</w:t>
      </w:r>
      <w:r>
        <w:rPr>
          <w:rFonts w:ascii="仿宋_GB2312" w:hAnsi="仿宋_GB2312" w:cs="仿宋_GB2312" w:eastAsia="仿宋_GB2312"/>
          <w:sz w:val="21"/>
          <w:color w:val="000000"/>
        </w:rPr>
        <w:t>.4</w:t>
      </w:r>
      <w:r>
        <w:rPr>
          <w:rFonts w:ascii="仿宋_GB2312" w:hAnsi="仿宋_GB2312" w:cs="仿宋_GB2312" w:eastAsia="仿宋_GB2312"/>
          <w:sz w:val="21"/>
          <w:color w:val="000000"/>
        </w:rPr>
        <w:t>验收过程所发生的一切费用由成交供应商承担。</w:t>
      </w:r>
    </w:p>
    <w:p>
      <w:pPr>
        <w:pStyle w:val="null3"/>
      </w:pPr>
      <w:r>
        <w:rPr>
          <w:rFonts w:ascii="仿宋_GB2312" w:hAnsi="仿宋_GB2312" w:cs="仿宋_GB2312" w:eastAsia="仿宋_GB2312"/>
          <w:sz w:val="21"/>
          <w:b/>
          <w:color w:val="000000"/>
        </w:rPr>
        <w:t>10</w:t>
      </w:r>
      <w:r>
        <w:rPr>
          <w:rFonts w:ascii="仿宋_GB2312" w:hAnsi="仿宋_GB2312" w:cs="仿宋_GB2312" w:eastAsia="仿宋_GB2312"/>
          <w:sz w:val="21"/>
          <w:b/>
          <w:color w:val="000000"/>
        </w:rPr>
        <w:t>、保密要求</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供应商承担本采购项目下保密义务，不得将因本次采购获得的任何信息向任何未经允许的第三人外传。</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应承诺承担本项目下保密义务，未经采购人许可不得将因本次项目获得的信息向第三方外传。本项目验收完成后，成交供应商应按采购人要求，在采购人监督下将采购人要求销毁的资料彻底销毁。对采购人提供的文件，应做好保护（不得污损、破坏、丢失等）并承担相应责任。</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.3</w:t>
      </w:r>
      <w:r>
        <w:rPr>
          <w:rFonts w:ascii="仿宋_GB2312" w:hAnsi="仿宋_GB2312" w:cs="仿宋_GB2312" w:eastAsia="仿宋_GB2312"/>
          <w:sz w:val="21"/>
          <w:color w:val="000000"/>
        </w:rPr>
        <w:t>采购人有权将供应商提供的所有资料向其他行政管理部门或有关的非政府机构负责评审的人员或与评审有关的人员披露。</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.4</w:t>
      </w:r>
      <w:r>
        <w:rPr>
          <w:rFonts w:ascii="仿宋_GB2312" w:hAnsi="仿宋_GB2312" w:cs="仿宋_GB2312" w:eastAsia="仿宋_GB2312"/>
          <w:sz w:val="21"/>
          <w:color w:val="000000"/>
        </w:rPr>
        <w:t>采购人有权在认为适当时，或在任何第三人提出要求（书面或其他方式）时，无须事先征求成交供应商同意而披露关于已订立合同的资料、成交供应商的名称及地址、成交服务的有关信息以及合同条款等。</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.5</w:t>
      </w:r>
      <w:r>
        <w:rPr>
          <w:rFonts w:ascii="仿宋_GB2312" w:hAnsi="仿宋_GB2312" w:cs="仿宋_GB2312" w:eastAsia="仿宋_GB2312"/>
          <w:sz w:val="21"/>
          <w:color w:val="000000"/>
        </w:rPr>
        <w:t>成交供应商与采购人签订合同时，须同时签订保密协议，双方必须对合作过程中涉及的工作秘密、业务需求、协议、各类成果资料等内容和相关事务保密。</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.6</w:t>
      </w:r>
      <w:r>
        <w:rPr>
          <w:rFonts w:ascii="仿宋_GB2312" w:hAnsi="仿宋_GB2312" w:cs="仿宋_GB2312" w:eastAsia="仿宋_GB2312"/>
          <w:sz w:val="21"/>
          <w:color w:val="000000"/>
        </w:rPr>
        <w:t>成交供应商及服务人员应绝对保证经手资料的保密和安全，不得以任何方式泄露工作过程中知悉的资料信息。</w:t>
      </w:r>
    </w:p>
    <w:p>
      <w:pPr>
        <w:pStyle w:val="null3"/>
        <w:ind w:firstLine="420"/>
      </w:pPr>
      <w:r>
        <w:rPr>
          <w:rFonts w:ascii="仿宋_GB2312" w:hAnsi="仿宋_GB2312" w:cs="仿宋_GB2312" w:eastAsia="仿宋_GB2312"/>
          <w:sz w:val="21"/>
          <w:color w:val="000000"/>
        </w:rPr>
        <w:t>10</w:t>
      </w:r>
      <w:r>
        <w:rPr>
          <w:rFonts w:ascii="仿宋_GB2312" w:hAnsi="仿宋_GB2312" w:cs="仿宋_GB2312" w:eastAsia="仿宋_GB2312"/>
          <w:sz w:val="21"/>
          <w:color w:val="000000"/>
        </w:rPr>
        <w:t>.7</w:t>
      </w:r>
      <w:r>
        <w:rPr>
          <w:rFonts w:ascii="仿宋_GB2312" w:hAnsi="仿宋_GB2312" w:cs="仿宋_GB2312" w:eastAsia="仿宋_GB2312"/>
          <w:sz w:val="21"/>
          <w:color w:val="000000"/>
        </w:rPr>
        <w:t>任何因供应商泄密引起的不良社会影响和法律责任均由成交供应商承担。</w:t>
      </w:r>
    </w:p>
    <w:p>
      <w:pPr>
        <w:pStyle w:val="null3"/>
      </w:pPr>
      <w:r>
        <w:rPr>
          <w:rFonts w:ascii="仿宋_GB2312" w:hAnsi="仿宋_GB2312" w:cs="仿宋_GB2312" w:eastAsia="仿宋_GB2312"/>
          <w:sz w:val="21"/>
          <w:b/>
          <w:color w:val="000000"/>
        </w:rPr>
        <w:t>11</w:t>
      </w:r>
      <w:r>
        <w:rPr>
          <w:rFonts w:ascii="仿宋_GB2312" w:hAnsi="仿宋_GB2312" w:cs="仿宋_GB2312" w:eastAsia="仿宋_GB2312"/>
          <w:sz w:val="21"/>
          <w:b/>
          <w:color w:val="000000"/>
        </w:rPr>
        <w:t>、知识产权</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本次采购涉及所有数据、成果必须是合法的、正版、无知识产权纠纷。供应商应保证采购人在使用涉及的数据、成果或任何一部分时免受第三方提出侵权纠纷。否则，由此产生的责任，完全由供应商承担。</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供应商必须对采购人提供的资料以及项目成果履行保密责任，未经采购人书面许可，不得将本项目或因本项目获得的相关信息数据做超出本项目需要范围的使用，也不得用于其他的任何场合。</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项目研究及开发成果的知识产权归属采购人所有（完成人、发明人可以共同署名）。</w:t>
      </w:r>
    </w:p>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、违约责任</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因成交供应商原因造成采购合同无法按时签订，视为成交供应商违约，成交供应商违约对采购人造成的损失的，需另行支付相应的赔偿。</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在签</w:t>
      </w:r>
      <w:r>
        <w:rPr>
          <w:rFonts w:ascii="仿宋_GB2312" w:hAnsi="仿宋_GB2312" w:cs="仿宋_GB2312" w:eastAsia="仿宋_GB2312"/>
          <w:sz w:val="21"/>
          <w:color w:val="000000"/>
        </w:rPr>
        <w:t>定采购合同之后，成交供应商要求解除合同的，视为成交供应商违约，对采购人造成的损失的，成交供应商需支付相应的赔偿。</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r>
        <w:rPr>
          <w:rFonts w:ascii="仿宋_GB2312" w:hAnsi="仿宋_GB2312" w:cs="仿宋_GB2312" w:eastAsia="仿宋_GB2312"/>
          <w:sz w:val="21"/>
          <w:color w:val="000000"/>
        </w:rPr>
        <w:t>因成交供应商原因发生重大质量事故，除依约承担赔偿责任外，还将按有关质量管理办法规定执行。同时，采购人有权保留更换成交供应商的权利，并报相关行政主管部门处罚。</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在明确违约责任后，成交供应商应在接到书面通知书起七天内支付违约金、赔偿金等。</w:t>
      </w:r>
    </w:p>
    <w:p>
      <w:pPr>
        <w:pStyle w:val="null3"/>
      </w:pPr>
      <w:r>
        <w:rPr>
          <w:rFonts w:ascii="仿宋_GB2312" w:hAnsi="仿宋_GB2312" w:cs="仿宋_GB2312" w:eastAsia="仿宋_GB2312"/>
          <w:sz w:val="24"/>
          <w:b/>
          <w:color w:val="000000"/>
        </w:rPr>
        <w:t>补充条款:</w:t>
      </w:r>
    </w:p>
    <w:p>
      <w:pPr>
        <w:pStyle w:val="null3"/>
      </w:pPr>
      <w:r>
        <w:rPr>
          <w:rFonts w:ascii="仿宋_GB2312" w:hAnsi="仿宋_GB2312" w:cs="仿宋_GB2312" w:eastAsia="仿宋_GB2312"/>
          <w:sz w:val="24"/>
          <w:b/>
          <w:color w:val="000000"/>
        </w:rPr>
        <w:t>说明:本补充条款为磋商文件组成部分，补充条款内容与磋商文件其他地方内容不一致的，以本补充条款内容为准。请供应商仔细阅读。</w:t>
      </w:r>
    </w:p>
    <w:p>
      <w:pPr>
        <w:pStyle w:val="null3"/>
      </w:pPr>
      <w:r>
        <w:rPr>
          <w:rFonts w:ascii="仿宋_GB2312" w:hAnsi="仿宋_GB2312" w:cs="仿宋_GB2312" w:eastAsia="仿宋_GB2312"/>
          <w:sz w:val="24"/>
          <w:b/>
          <w:color w:val="000000"/>
        </w:rPr>
        <w:t>一、对《第二章竞争性磋商须知》的内容补充如下:</w:t>
      </w:r>
    </w:p>
    <w:p>
      <w:pPr>
        <w:pStyle w:val="null3"/>
      </w:pPr>
      <w:r>
        <w:rPr>
          <w:rFonts w:ascii="仿宋_GB2312" w:hAnsi="仿宋_GB2312" w:cs="仿宋_GB2312" w:eastAsia="仿宋_GB2312"/>
          <w:sz w:val="24"/>
          <w:b/>
          <w:color w:val="000000"/>
        </w:rPr>
        <w:t>附件1：关于明确串标情节及后果的预警提示，供应商应明确知晓相应行为及后果</w:t>
      </w:r>
    </w:p>
    <w:p>
      <w:pPr>
        <w:pStyle w:val="null3"/>
        <w:ind w:firstLine="480"/>
        <w:jc w:val="center"/>
      </w:pPr>
      <w:r>
        <w:rPr>
          <w:rFonts w:ascii="仿宋_GB2312" w:hAnsi="仿宋_GB2312" w:cs="仿宋_GB2312" w:eastAsia="仿宋_GB2312"/>
          <w:sz w:val="24"/>
          <w:color w:val="000000"/>
        </w:rPr>
        <w:t>关于串标情形及后果的告知函</w:t>
      </w:r>
    </w:p>
    <w:p>
      <w:pPr>
        <w:pStyle w:val="null3"/>
        <w:ind w:firstLine="480"/>
      </w:pPr>
      <w:r>
        <w:rPr>
          <w:rFonts w:ascii="仿宋_GB2312" w:hAnsi="仿宋_GB2312" w:cs="仿宋_GB2312" w:eastAsia="仿宋_GB2312"/>
          <w:sz w:val="24"/>
          <w:color w:val="000000"/>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0"/>
      </w:pPr>
      <w:r>
        <w:rPr>
          <w:rFonts w:ascii="仿宋_GB2312" w:hAnsi="仿宋_GB2312" w:cs="仿宋_GB2312" w:eastAsia="仿宋_GB2312"/>
          <w:sz w:val="24"/>
          <w:color w:val="000000"/>
        </w:rPr>
        <w:t>一、串标情形</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二十五条：政府采购当事人不得相互串通损害国家利益、社会公共利益和其他当事人的合法权益；不得以任何手段排斥其他供应商参与竞争。供应商不得以向采购人、采购代理机构、评标委员会的组成人员、竞争性磋商小组的组成人员、询价小组的组成人员行贿或者采取其他不正当手段谋取中标或者成交。</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法实施条例》第七十四条：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480"/>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480"/>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480"/>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480"/>
      </w:pPr>
      <w:r>
        <w:rPr>
          <w:rFonts w:ascii="仿宋_GB2312" w:hAnsi="仿宋_GB2312" w:cs="仿宋_GB2312" w:eastAsia="仿宋_GB2312"/>
          <w:sz w:val="24"/>
          <w:color w:val="000000"/>
        </w:rPr>
        <w:t>（五）供应商之间事先约定由某一特定供应商中标、成交；</w:t>
      </w:r>
    </w:p>
    <w:p>
      <w:pPr>
        <w:pStyle w:val="null3"/>
        <w:ind w:firstLine="480"/>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480"/>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pPr>
      <w:r>
        <w:rPr>
          <w:rFonts w:ascii="仿宋_GB2312" w:hAnsi="仿宋_GB2312" w:cs="仿宋_GB2312" w:eastAsia="仿宋_GB2312"/>
          <w:sz w:val="24"/>
          <w:color w:val="000000"/>
        </w:rPr>
        <w:t>一、电子化招标项目视为串通情形的认定</w:t>
      </w:r>
    </w:p>
    <w:p>
      <w:pPr>
        <w:pStyle w:val="null3"/>
        <w:ind w:firstLine="480"/>
      </w:pPr>
      <w:r>
        <w:rPr>
          <w:rFonts w:ascii="仿宋_GB2312" w:hAnsi="仿宋_GB2312" w:cs="仿宋_GB2312" w:eastAsia="仿宋_GB2312"/>
          <w:sz w:val="24"/>
          <w:color w:val="000000"/>
        </w:rPr>
        <w:t>（一）保证金验核阶段</w:t>
      </w:r>
    </w:p>
    <w:p>
      <w:pPr>
        <w:pStyle w:val="null3"/>
        <w:ind w:firstLine="480"/>
      </w:pPr>
      <w:r>
        <w:rPr>
          <w:rFonts w:ascii="仿宋_GB2312" w:hAnsi="仿宋_GB2312" w:cs="仿宋_GB2312" w:eastAsia="仿宋_GB2312"/>
          <w:sz w:val="24"/>
          <w:color w:val="000000"/>
        </w:rPr>
        <w:t>不同供应商的投标保证金转出账户的银行账户名称相同的，属于《政府采购货物和服务招标投标管理办法》（财政部令第87号）第三十七条第（六）项“不同供应商的投标保证金从同一单位或者个人的账户转出”的情形。</w:t>
      </w:r>
    </w:p>
    <w:p>
      <w:pPr>
        <w:pStyle w:val="null3"/>
        <w:ind w:firstLine="480"/>
      </w:pPr>
      <w:r>
        <w:rPr>
          <w:rFonts w:ascii="仿宋_GB2312" w:hAnsi="仿宋_GB2312" w:cs="仿宋_GB2312" w:eastAsia="仿宋_GB2312"/>
          <w:sz w:val="24"/>
          <w:color w:val="000000"/>
        </w:rPr>
        <w:t>（二）电子响应文件解密阶段</w:t>
      </w:r>
    </w:p>
    <w:p>
      <w:pPr>
        <w:pStyle w:val="null3"/>
        <w:ind w:firstLine="480"/>
      </w:pPr>
      <w:r>
        <w:rPr>
          <w:rFonts w:ascii="仿宋_GB2312" w:hAnsi="仿宋_GB2312" w:cs="仿宋_GB2312" w:eastAsia="仿宋_GB2312"/>
          <w:sz w:val="24"/>
          <w:color w:val="000000"/>
        </w:rPr>
        <w:t>电子响应文件的个性特征与本采购项目的其他响应人存在雷同的，按照以下方式进行认定：</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上传电子投标文件被福建省政府采购网上公开信息系统投标客户端所赋予的项目内部识别码与本招标项目的其他供应商相同的，属于《政府采购货物和服务招标投标管理办法》（财政部令第87号）第三十七条第（一）项“不同供应商的投标文件由同一单位或者个人编制”的情形。</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记录的编制电子投标文件使用的计算机或上传电子投标文件使用的计算机网卡MAC地址与本招标项目的其他供应商一致的，属于《政府采购货物和服务招标投标管理办法》（财政部令第87号）第三十七条第（二）项“不同供应商委托同一单位或者个人办理投标事宜”的情形。</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上传的电子投标文件若出现使用本项目其他供应商的数字证书加密的或加盖本项目的其他供应商的电子印章的，属于《政府采购货物和服务招标投标管理办法》（财政部令第87号）第三十七条第（五）项“不同供应商的投标文件相互混装”的情形。</w:t>
      </w:r>
    </w:p>
    <w:p>
      <w:pPr>
        <w:pStyle w:val="null3"/>
        <w:ind w:firstLine="480"/>
      </w:pPr>
      <w:r>
        <w:rPr>
          <w:rFonts w:ascii="仿宋_GB2312" w:hAnsi="仿宋_GB2312" w:cs="仿宋_GB2312" w:eastAsia="仿宋_GB2312"/>
          <w:sz w:val="24"/>
          <w:color w:val="000000"/>
        </w:rPr>
        <w:t>二、电子化非招标项目视为串通情形的认定</w:t>
      </w:r>
    </w:p>
    <w:p>
      <w:pPr>
        <w:pStyle w:val="null3"/>
        <w:ind w:firstLine="480"/>
      </w:pPr>
      <w:r>
        <w:rPr>
          <w:rFonts w:ascii="仿宋_GB2312" w:hAnsi="仿宋_GB2312" w:cs="仿宋_GB2312" w:eastAsia="仿宋_GB2312"/>
          <w:sz w:val="24"/>
          <w:color w:val="000000"/>
        </w:rPr>
        <w:t>电子化非招标项目（包括竞争性磋商、竞争性磋商、询价）中出现本意见第一点所列情形的，属于《中华人民共和国政府采购法实施条例》第七十四条第（七）项“供应商与采购人或者采购代理机构之间、供应商相互之间，为谋求特定供应商中标、成交或者排斥其他供应商的其他串通行为”。</w:t>
      </w:r>
    </w:p>
    <w:p>
      <w:pPr>
        <w:pStyle w:val="null3"/>
        <w:ind w:firstLine="480"/>
      </w:pPr>
      <w:r>
        <w:rPr>
          <w:rFonts w:ascii="仿宋_GB2312" w:hAnsi="仿宋_GB2312" w:cs="仿宋_GB2312" w:eastAsia="仿宋_GB2312"/>
          <w:sz w:val="24"/>
          <w:color w:val="000000"/>
        </w:rPr>
        <w:t>二、后果</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pPr>
      <w:r>
        <w:rPr>
          <w:rFonts w:ascii="仿宋_GB2312" w:hAnsi="仿宋_GB2312" w:cs="仿宋_GB2312" w:eastAsia="仿宋_GB2312"/>
          <w:sz w:val="24"/>
          <w:color w:val="000000"/>
        </w:rPr>
        <w:t>（三）与采购人、其他供应商或者采购代理机构恶意串通的；</w:t>
      </w:r>
    </w:p>
    <w:p>
      <w:pPr>
        <w:pStyle w:val="null3"/>
        <w:ind w:firstLine="480"/>
      </w:pPr>
      <w:r>
        <w:rPr>
          <w:rFonts w:ascii="仿宋_GB2312" w:hAnsi="仿宋_GB2312" w:cs="仿宋_GB2312" w:eastAsia="仿宋_GB2312"/>
          <w:sz w:val="24"/>
          <w:color w:val="000000"/>
        </w:rPr>
        <w:t>供应商有前款第（一）至（五）项情形之一的，中标、成交无效。</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、《政府采购非招标采购方式管理办法》（财政部令第74号）第二十条：有下列情形之一的，保证金不予退还：</w:t>
      </w:r>
    </w:p>
    <w:p>
      <w:pPr>
        <w:pStyle w:val="null3"/>
        <w:ind w:firstLine="480"/>
      </w:pPr>
      <w:r>
        <w:rPr>
          <w:rFonts w:ascii="仿宋_GB2312" w:hAnsi="仿宋_GB2312" w:cs="仿宋_GB2312" w:eastAsia="仿宋_GB2312"/>
          <w:sz w:val="24"/>
          <w:color w:val="000000"/>
        </w:rPr>
        <w:t>（四）供应商与采购人、其他供应商或者采购代理机构恶意串通的；</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、《福建省财政厅关于电子化政府采购项目中视为串标情形认定与处理的指导意见》（闽财购〔2018〕30号）</w:t>
      </w:r>
    </w:p>
    <w:p>
      <w:pPr>
        <w:pStyle w:val="null3"/>
        <w:ind w:firstLine="480"/>
      </w:pPr>
      <w:r>
        <w:rPr>
          <w:rFonts w:ascii="仿宋_GB2312" w:hAnsi="仿宋_GB2312" w:cs="仿宋_GB2312" w:eastAsia="仿宋_GB2312"/>
          <w:sz w:val="24"/>
          <w:color w:val="000000"/>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pPr>
      <w:r>
        <w:rPr>
          <w:rFonts w:ascii="仿宋_GB2312" w:hAnsi="仿宋_GB2312" w:cs="仿宋_GB2312" w:eastAsia="仿宋_GB2312"/>
          <w:sz w:val="24"/>
          <w:color w:val="000000"/>
        </w:rPr>
        <w:t>三、虚假响应风险提示</w:t>
      </w:r>
    </w:p>
    <w:p>
      <w:pPr>
        <w:pStyle w:val="null3"/>
      </w:pPr>
      <w:r>
        <w:rPr>
          <w:rFonts w:ascii="仿宋_GB2312" w:hAnsi="仿宋_GB2312" w:cs="仿宋_GB2312" w:eastAsia="仿宋_GB2312"/>
          <w:sz w:val="24"/>
          <w:color w:val="000000"/>
        </w:rPr>
        <w:t>《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2.2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[350201]FJGC[CS]2025001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2025年地表水水质自动监测系统运营维护与提升改造</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1(2025年地表水水质自动监测系统运营维护与提升改造)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2025年地表水水质自动监测系统运营维护与提升改造</w:t>
            </w:r>
          </w:p>
        </w:tc>
        <w:tc>
          <w:tcPr>
            <w:tcW w:type="dxa" w:w="1661"/>
          </w:tcPr>
          <w:p>
            <w:pPr>
              <w:pStyle w:val="null3"/>
              <w:jc w:val="left"/>
            </w:pPr>
            <w:r>
              <w:rPr>
                <w:rFonts w:ascii="仿宋_GB2312" w:hAnsi="仿宋_GB2312" w:cs="仿宋_GB2312" w:eastAsia="仿宋_GB2312"/>
              </w:rPr>
              <w:t xml:space="preserve"> 1385000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[350201]FJGC[CS]2025001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2025年地表水水质自动监测系统运营维护与提升改造</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2025年地表水水质自动监测系统运营维护与提升改造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2025年地表水水质自动监测系统运营维护与提升改造</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2025年地表水水质自动监测系统运营维护与提升改造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1385000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